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bookmarkStart w:id="22" w:name="_GoBack"/>
      <w:bookmarkEnd w:id="22"/>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机房系统设备</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37DCCCE">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36DFD3E0">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2D12E58A">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0F54F203">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2"/>
        <w:gridCol w:w="1380"/>
        <w:gridCol w:w="5520"/>
        <w:gridCol w:w="975"/>
        <w:gridCol w:w="1005"/>
        <w:gridCol w:w="1515"/>
        <w:gridCol w:w="871"/>
        <w:gridCol w:w="960"/>
        <w:gridCol w:w="1427"/>
      </w:tblGrid>
      <w:tr w14:paraId="61066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4325" w:type="dxa"/>
            <w:gridSpan w:val="9"/>
            <w:tcBorders>
              <w:top w:val="nil"/>
              <w:left w:val="nil"/>
              <w:bottom w:val="nil"/>
              <w:right w:val="nil"/>
            </w:tcBorders>
            <w:shd w:val="clear" w:color="auto" w:fill="auto"/>
            <w:vAlign w:val="center"/>
          </w:tcPr>
          <w:p w14:paraId="0E30D8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71DF2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BF9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8E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63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773" w:type="dxa"/>
            <w:gridSpan w:val="4"/>
            <w:tcBorders>
              <w:top w:val="single" w:color="000000" w:sz="4" w:space="0"/>
              <w:left w:val="nil"/>
              <w:bottom w:val="single" w:color="000000" w:sz="4" w:space="0"/>
              <w:right w:val="single" w:color="000000" w:sz="4" w:space="0"/>
            </w:tcBorders>
            <w:shd w:val="clear" w:color="auto" w:fill="auto"/>
            <w:noWrap/>
            <w:vAlign w:val="center"/>
          </w:tcPr>
          <w:p w14:paraId="03343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83F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2D9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37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669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773" w:type="dxa"/>
            <w:gridSpan w:val="4"/>
            <w:tcBorders>
              <w:top w:val="single" w:color="000000" w:sz="4" w:space="0"/>
              <w:left w:val="nil"/>
              <w:bottom w:val="single" w:color="000000" w:sz="4" w:space="0"/>
              <w:right w:val="single" w:color="000000" w:sz="4" w:space="0"/>
            </w:tcBorders>
            <w:shd w:val="clear" w:color="auto" w:fill="auto"/>
            <w:noWrap/>
            <w:vAlign w:val="center"/>
          </w:tcPr>
          <w:p w14:paraId="72A300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9013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1FE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24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4EF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773" w:type="dxa"/>
            <w:gridSpan w:val="4"/>
            <w:tcBorders>
              <w:top w:val="single" w:color="000000" w:sz="4" w:space="0"/>
              <w:left w:val="nil"/>
              <w:bottom w:val="single" w:color="000000" w:sz="4" w:space="0"/>
              <w:right w:val="single" w:color="000000" w:sz="4" w:space="0"/>
            </w:tcBorders>
            <w:shd w:val="clear" w:color="auto" w:fill="auto"/>
            <w:noWrap/>
            <w:vAlign w:val="center"/>
          </w:tcPr>
          <w:p w14:paraId="4910E6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5DA1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ECE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7B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834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773" w:type="dxa"/>
            <w:gridSpan w:val="4"/>
            <w:tcBorders>
              <w:top w:val="single" w:color="000000" w:sz="4" w:space="0"/>
              <w:left w:val="nil"/>
              <w:bottom w:val="single" w:color="000000" w:sz="4" w:space="0"/>
              <w:right w:val="single" w:color="000000" w:sz="4" w:space="0"/>
            </w:tcBorders>
            <w:shd w:val="clear" w:color="auto" w:fill="auto"/>
            <w:noWrap/>
            <w:vAlign w:val="center"/>
          </w:tcPr>
          <w:p w14:paraId="1E4214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A34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77E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AD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1CD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773" w:type="dxa"/>
            <w:gridSpan w:val="4"/>
            <w:tcBorders>
              <w:top w:val="single" w:color="000000" w:sz="4" w:space="0"/>
              <w:left w:val="nil"/>
              <w:bottom w:val="single" w:color="000000" w:sz="4" w:space="0"/>
              <w:right w:val="single" w:color="000000" w:sz="4" w:space="0"/>
            </w:tcBorders>
            <w:shd w:val="clear" w:color="auto" w:fill="auto"/>
            <w:noWrap/>
            <w:vAlign w:val="center"/>
          </w:tcPr>
          <w:p w14:paraId="587BC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A002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DF9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AC6E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5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73E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48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211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D83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推荐品牌</w:t>
            </w:r>
          </w:p>
        </w:tc>
        <w:tc>
          <w:tcPr>
            <w:tcW w:w="18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247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D67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备注所投品牌型号</w:t>
            </w:r>
          </w:p>
        </w:tc>
      </w:tr>
      <w:tr w14:paraId="41EE3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C8F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347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5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9D9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E16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314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071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56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89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24D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3BFCC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5B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9F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录像设备</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50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1、名称：硬盘录像机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2、参数：单颗64位多核高性能处理器，默认1个内存条，共8（GB)内存，可扩展至4个内存条，128(GB)内存；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默认4个10/100/1000Mbps自适应以太网电口，1个10/100/1000Mbps自适应管理网口，可选配2张PCIE标卡（标卡需客户自行购买，如SAS卡、网卡）；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可适配CMR&amp;SMR硬盘，支持SATA硬盘，CMR单盘最大支持24TB硬盘，SMR单盘最大支持30TB；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最大支持512路（1024Mbps）前端接入、存储、转发，32路（64 Mbps）网络回放；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可通过ONVIF、GB28181、RTSP、视图库、主动注册等协议管理不同厂家前端摄像头，实现视频存储；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存储RAID支持JBOD、RAID0/1/5/6/10/50/60、SRAID 支持全局热备和局部热备；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支持存储配额管理，支持基于通道的维度进行存储周期管理；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仅CMR硬盘支持通过IPSAN、NAS（Samba、FTP、NFS）、视频直存模式访问存储资源；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支持关键录像加锁，确保不被循环覆盖；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1支持N+M集群模式，可实现单台或多台设备故障时，故障设备业务自动迁移到其它健康设备上，保障业务不中断；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可配合智能前端摄像头，实现结构化告警、周界告警、入户电梯告警、高空抛物告警等多种报警事件、图片透传平台；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支持一键诊断功能：支持硬盘状态、单盘性能、RAID状态、raid配置、硬盘盘组、网络状态、录像状态的健康状态诊断，诊断用户配置合规性，协助用户更好的使用设备；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整机国产化硬件设计，性能高、稳定、可控，安全性高</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7BC1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13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F1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7E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4A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27" w:type="dxa"/>
            <w:tcBorders>
              <w:top w:val="nil"/>
              <w:left w:val="single" w:color="000000" w:sz="4" w:space="0"/>
              <w:bottom w:val="single" w:color="000000" w:sz="4" w:space="0"/>
              <w:right w:val="single" w:color="000000" w:sz="4" w:space="0"/>
            </w:tcBorders>
            <w:shd w:val="clear" w:color="auto" w:fill="auto"/>
            <w:vAlign w:val="center"/>
          </w:tcPr>
          <w:p w14:paraId="555E5B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AE8E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3F0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42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视频传输设备</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E7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1、名称：高清解码器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2、设备参数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机架设计，ATCA电信级架构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支持2路HDMI输入，最大支持4k编码输入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支持12路HDMI输出（6路HDMI2.0、6路HDMI1.3），最大支持6路4K@60Hz和6路1080p@60Hz输出嵌入式Linux操作系统，安全可靠、稳定高效，便于开发和维护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支持H.264/H.265视频编码，支持双码流和可变码流，支持复合流和视频流编码。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支持H.264/H.265视频解码，支持144路1080p@25fps高清视频解码能力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支持32MP/16MP/12MP/8MP/5MP/3MP/1080p/720p/D1/HD1/2CIF/CIF/QCIF视频解码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支持H.265/H.264/SVAC/MPEG4/MJPEG视频格式解码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支持本地信号/网络信号的输入和矩阵输出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支持信号多路复制，同一个信号最多支持复制32路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支持web浏览器、PC客户端、移动客户端、网络键盘等进行控制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支持拼接缩放/视频融合/漫游/开窗/层叠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支持1/4/6/8/9/16/25/36画面分割显示，支持自由分割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支持128个场景预设，用户可以自定义每个场景电视墙布局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支持点对点高清底图显示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支持字幕叠加功能，支持在单屏、拼接屏上虚拟出一段字符显示。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支持2个RJ45网络接口，支持容错，单网卡，链路聚合，负载均衡模式设置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支持RS232串口，用于矩阵控制、大屏开关等功能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支持TCP/IP协议，支持RTP/RTSP/RTCP/TCP/UDP/DHCP等网络协议支持远程控制本地、网络视频切换上墙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支持远程重启、远程升级和恢复默认设置等操作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支持用户权限管理，支持白名单功能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支持双电源冗余，智能风扇自动调温，确保系统稳定可靠</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9C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19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05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14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0F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27" w:type="dxa"/>
            <w:tcBorders>
              <w:top w:val="nil"/>
              <w:left w:val="single" w:color="000000" w:sz="4" w:space="0"/>
              <w:bottom w:val="single" w:color="000000" w:sz="4" w:space="0"/>
              <w:right w:val="single" w:color="000000" w:sz="4" w:space="0"/>
            </w:tcBorders>
            <w:shd w:val="clear" w:color="auto" w:fill="auto"/>
            <w:vAlign w:val="center"/>
          </w:tcPr>
          <w:p w14:paraId="615496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5539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34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809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网络服务器</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C2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1、名称：监控管理平台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2、参数：2U机架式服务器机箱；处理器：1颗国产化 CPU，≥16核 主频≥2.5GHz；内存：配置64G内存，不少于4个DDR4 DIMM插槽；硬盘：2块4T及以上 3.5英寸 SATA 热插拔机械硬盘，最大支持8块3.5英寸/2.5英寸的SAS/SATA机械硬盘或固态硬盘；电源：2个交流电源模块，支持1+1冗余；风扇：4个热拔插风扇，支持N+1冗余；RAID卡：配置SAS_HBA卡（支持RAID 0/1/10）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185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台(套)</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03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3CC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68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D9B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27" w:type="dxa"/>
            <w:tcBorders>
              <w:top w:val="nil"/>
              <w:left w:val="single" w:color="000000" w:sz="4" w:space="0"/>
              <w:bottom w:val="single" w:color="000000" w:sz="4" w:space="0"/>
              <w:right w:val="single" w:color="000000" w:sz="4" w:space="0"/>
            </w:tcBorders>
            <w:shd w:val="clear" w:color="auto" w:fill="auto"/>
            <w:vAlign w:val="center"/>
          </w:tcPr>
          <w:p w14:paraId="5F9F82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2073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6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D7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小区智慧管理平台</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70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软件集成系统管理、视频管理、报警管理、门禁管理、可视对讲、车辆卡口、设备运维、停车管理、园区工作台、安全数据库10大业务系统；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一、系统管理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1、基础资源管理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（1）支持组织基础信息的增删改查、导入、导出等功能；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（2）提供设备的统一接入及管理，包含：视频设备、门禁设备、出入口设备、对讲设备、报警设备、卡口设备、动环设备、物模型设备等；支持设备的增删改查、导入、导出、自动搜索等功能；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用户基础信息的增删改查、冻结、解冻、密码重置等功能；支持从Windows域同步用户信息，和企业域账户打通，通过域账户密码直接登录平台；支持用户的安全信息配置，可设置用户及用户登录密码效期以及MAC白名单地址配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（4）支持角色基础信息的增删改查；角色关联权限，可配置角色的应用菜单、部门、逻辑组织以及系统资源操作权限；支持角色的复制能力；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（5）支持部门基础信息的增删改查、导入、导出等功能；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（6）支持人员基础信息的增删改查、导入、导出、移动等功能；支持人员信息的采集，包含：人脸、指纹、卡片等，人脸照片支持图片质量检测；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（7）支持卡片基础信息的增删改查、导入、导出等功能；支持人员开卡、挂失、解挂、退卡、补卡、回收等功能；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（8）支持车辆基础信息的增删改查、导入、导出等功能；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（9）支持地图管理配置能力，地图类型包含；二维、光栅、三维地图，支持厂家包含：百度、谷歌、高德、天地图、Arcgis；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（10）支持平台资源绑定，包含：设备、通道等，绑定的资源可供各业务系统调阅使用；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提供门户首页内容自定义能力，支持自定义快捷入口、自定义菜单内容、自定义页面元素设置；支持门户展示元素自定义，包括页面logo图标、修改网站标题、设置并添加网站外部链接、界面微件自定义布局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（12）提供级联管理能力，包含：实现上下级基础资源数据汇聚，视频预览、回放、对讲、反控制，门禁、卡口的抓拍记录汇聚等；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2、平台运维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（1）支持平台运维，提供服务部署维护功能、支持模块化升级部署、系统资源使用情况监控等运维相关功能；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（2）支持级联、分布式、集群，实现系统扩展及稳定性要求；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（3）支持双机热备，提升系统灾备能力，保障系统的可靠性；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（4）支持mysql数据库、云数据库切换配置，满足图片、视频、结构化数据的按需求存储；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（5）支持标准开放平台，提供rest ful 等多维度接口实现第三方系统对接；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（6）提供NTP校时服务能力，支持对服务间、服务器和设备间的统一校时；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（7）集成可信计算能力，支持程序包可信安装升级完整性校验，以及监控可执行文件可信执行功能，阻止未经授信的可疑程序（如防勒索病毒、挖矿程序）对系统造成破坏；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二、软件功能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1、视频管理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（1）支持实时视频、录像回放、录像下载、电视墙、雷球联动，热成像；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（2）支持与车载单兵等移动设备的对接，提供车载单兵设备GPS信息接收服务；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（3）支持手机移动客户端进行实时视频监控，音频播放，本地截图，本地录像，云台控制，远程视频回放；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（4）录像支持1/2、1/4、1/8、1/16、1/32、1/64、2、4、8、16、32、64倍速快/慢放；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在浏览器中进行多路无插件视频预览；支持设备对讲、抓图、本地录像、声音控制、窗口分割、全屏、自适应、云台控制、预置点、点间巡航等功能；支持在浏览器中进行多路无插件录像回放，可自动查找存储位置；支持设备抓图、本地录像、声音控制、窗口分割、全屏、自适应、倍速、精确定位等功能；支持25路多路数并发，支持软/硬解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2、报警管理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（1）支持报警主机接入及布撤防；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（2）提供防区管理功能检查，支持自动获取设备防区类型（即时防区、延时防区、24小时防区)并可自定义修改类型，客户端支持防区布防、撤防、消警、旁路、隔离、取消旁路操作；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3、车辆卡口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（1）支持道路监控、过车记录、布控记录、违章信息、区间测试；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（2）支持布控报警及相关记录信息查询；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4、停车管理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（1）支持出入口管理、场区管理、地图管理、收费规则管理、用户布控设置、场内超速报警；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（2）支持在线支付和无人值守；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停车概览引导，可依据停车向导跳转至对应页面，流程化完成停车业务，向导包含：停车设备、场区设置、收费规则管理、二维码管理、支付配置、系统配置；同时包括了部分统计数据，包括：今日泊位概况、今日收款占比、收款统计、车流量统计、用户总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5、门禁管理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（1）支持门禁设备管理；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（2）支持门禁应用，包括门禁的可视化开门、关门、常开、常闭、恢复正常，支持按组织、门组、收藏夹快速分类筛选门禁设备，支持紧急情况下的一键常开、恢复正常；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（3）支持门禁控制授权及复核，支持门禁管理任务查询；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（4）支持门禁系统集群，分布式方式提升接入能力；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（5）支持门禁可视化权限下发，实时展示平台当前的授权下发速率、下发进度、预计完成时间，可根据当前平台总体未完成记录数与总体下发的速率，综合换算出授权下发预计完成时间；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6、可视对讲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（1）支持设备管理、权限分组、呼叫分组、监控权限分组、信息发布分组；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（2）支持卡片、人脸等授权及复核；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（3）支持呼叫通话、信息发布、开门记录查询；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业务数据级联汇聚转发，按指定的数据传输协议接收汇聚多个下级平台数据上报，同时支持将采集的数据按指定的传输协议转发给多个上级汇聚平台，默认支持社区部标协议、内保部标协议、1400视图库协议和1400内保扩展协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一、软件参数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1、协议管理：支持不同协议标准的数据级联推送给上级平台，支持设置协议标准推送的机制参数，包括支持静态数据断线重连全量推送，动态数据推送的方式、频率、重推次数等；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2、数据对象管理：支持对网关推送的数据对象进行管理，按不同的协议进行区分及定义推送设置；数据对象支持应用类型定义，包括通用、社区、社区扩展、内保和内保扩展等，支持按应用类型快速筛选；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域管理：支持添加上级域连接及参数设置，不同的协议按指定的参数配置，包括网关分别连接本级平台和上级平台的参数；社区部标域添加下级域时，级联配置支持数据入库方式：下级域数据汇聚和同级域间数据同步，同级域间数据同步为本级数据方式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4、数据对象级联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（1）支持按部标协议推送数据对象，包括采集系统、采集系统状态、采集设备、采集设备状态、小区、房屋、人房关系、人员、实有单位、机动车、人脸抓拍等；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（2）支持1400视图库协议推送和接收的数据对象包括采集设备-设备对象、采集设备-设备状态对象、采集系统对象、图像对象、人脸对象、机动车对象等；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5、日志管理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（1）推送记录：支持业务数据网关作为下级往上级推送数据的失败记录查看，包括推送数据对象、数据标志码、推送时间、推送结果等；失败的日志记录支持查看推送的详细内容和手动重推操作；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（2）级联状态日志记录：支持各网关模块与各域连接状态变化的日志记录存档，日志记录支持按时间、级联域名称等关键字查询检索及导出；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（3）设备状态日志：支持1400设备状态日志记录存储及查询展示及查询导出，在同步开关打开后支持将设备状态同步到设备管理中；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6、数据统计分析：支持查看网关与指定级联域在查询时间段内数据对象推送失败频次分析和失败错误类型统计；支持按级联域名称查看指定时间段内域连接失败的频次分析和离线时长分析；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二、性能规格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1、动态数据推送并发处理能力：单个网关支持推送消息：200个/秒（不含图片），100个/秒（500kb图片大小），总集群能力1500个/秒（不含图片），1000个/秒（500kb图片大小）；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2、静态数据推送处理能力：单次推送数据量：500条；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3、1400设备接入个数：单个域最大支持1000个设备；</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AA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台(套)</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68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DC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DE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2D7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27" w:type="dxa"/>
            <w:tcBorders>
              <w:top w:val="nil"/>
              <w:left w:val="single" w:color="000000" w:sz="4" w:space="0"/>
              <w:bottom w:val="single" w:color="000000" w:sz="4" w:space="0"/>
              <w:right w:val="single" w:color="000000" w:sz="4" w:space="0"/>
            </w:tcBorders>
            <w:shd w:val="clear" w:color="auto" w:fill="auto"/>
            <w:vAlign w:val="center"/>
          </w:tcPr>
          <w:p w14:paraId="704048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6A7B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88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5A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网络服务器</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4D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1、名称：人脸存储服务器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2、参数：配置1块8T企业级硬盘；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1路VGA输出，4路HDMI输出，其中VGA1和HDMI 1同源输出，支持1个4K显示输出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4个10/100/1000Mbps自适应以太网口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设备内置2颗高性能GPU；</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支持128路H.264/H.265混合接入，网络带宽400Mbps接入；320Mbps存储；320Mbps转发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支持20个1080P解码显示输出，支持Smart H.265;H.265;Smart H.264;H.264混合解码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支持48路200万或48路400万分辨率人脸识别；或最大支持48路200万或48路400万图片流人脸比对，支持50万张人脸图片，100个人脸名单库支持48路200万或48路400万分辨率视频结构化后智能分析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支持32路200万或32路400万分辨率后智能通用行为分析，每路支持10条规则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支持48路200万或48路400万前智能车牌比对，支持50万张车牌名单，50个车牌库,支持黑名单/白名单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支持1路视频质量诊断，可配置多通道轮巡检测，支持配合平台下发视频质量诊断任务进行前端视频质量巡检；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在算法能力范围内，支持单通道多智能；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支持按人脸属性；人体属性；机动车；非机动车属性进行智能数据检索；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支持人脸库以图搜图；人脸以图搜图；人体以图搜图；1:1人脸比对，支持大华平台对接多台设备并发检索；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支持人员高频报警；结构化属性合规报警；陌生人报警；视频质量诊断；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支持联动录像，抓图，日志，蜂鸣，邮件，预置点，本地报警输出，IPC报警输出，门禁，语音播报，声光报警联动。</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65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台(套)</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41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83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F4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D1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27" w:type="dxa"/>
            <w:tcBorders>
              <w:top w:val="nil"/>
              <w:left w:val="single" w:color="000000" w:sz="4" w:space="0"/>
              <w:bottom w:val="single" w:color="000000" w:sz="4" w:space="0"/>
              <w:right w:val="single" w:color="000000" w:sz="4" w:space="0"/>
            </w:tcBorders>
            <w:shd w:val="clear" w:color="auto" w:fill="auto"/>
            <w:vAlign w:val="center"/>
          </w:tcPr>
          <w:p w14:paraId="7AD66D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EA49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38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02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输入设备</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7E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1、名称：监控硬盘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2、单盘容量：10TB；缓存：512MB；转速：7200RPM；硬盘接口：SATA</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87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5D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588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0D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0A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427" w:type="dxa"/>
            <w:tcBorders>
              <w:top w:val="nil"/>
              <w:left w:val="single" w:color="000000" w:sz="4" w:space="0"/>
              <w:bottom w:val="single" w:color="000000" w:sz="4" w:space="0"/>
              <w:right w:val="single" w:color="000000" w:sz="4" w:space="0"/>
            </w:tcBorders>
            <w:shd w:val="clear" w:color="auto" w:fill="auto"/>
            <w:vAlign w:val="center"/>
          </w:tcPr>
          <w:p w14:paraId="46F4B4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A1B7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8" w:hRule="atLeast"/>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9BB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0"/>
                <w:szCs w:val="20"/>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7</w:t>
            </w:r>
          </w:p>
        </w:tc>
        <w:tc>
          <w:tcPr>
            <w:tcW w:w="112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174D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8" name="Text_Box_5"/>
                  <wp:cNvGraphicFramePr/>
                  <a:graphic xmlns:a="http://schemas.openxmlformats.org/drawingml/2006/main">
                    <a:graphicData uri="http://schemas.openxmlformats.org/drawingml/2006/picture">
                      <pic:pic xmlns:pic="http://schemas.openxmlformats.org/drawingml/2006/picture">
                        <pic:nvPicPr>
                          <pic:cNvPr id="8"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9" name="Text_Box_9"/>
                  <wp:cNvGraphicFramePr/>
                  <a:graphic xmlns:a="http://schemas.openxmlformats.org/drawingml/2006/main">
                    <a:graphicData uri="http://schemas.openxmlformats.org/drawingml/2006/picture">
                      <pic:pic xmlns:pic="http://schemas.openxmlformats.org/drawingml/2006/picture">
                        <pic:nvPicPr>
                          <pic:cNvPr id="9" name="Text_Box_9"/>
                          <pic:cNvPicPr/>
                        </pic:nvPicPr>
                        <pic:blipFill>
                          <a:blip r:embed="rId7"/>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 name="Text_Box_5_SpCnt_1"/>
                  <wp:cNvGraphicFramePr/>
                  <a:graphic xmlns:a="http://schemas.openxmlformats.org/drawingml/2006/main">
                    <a:graphicData uri="http://schemas.openxmlformats.org/drawingml/2006/picture">
                      <pic:pic xmlns:pic="http://schemas.openxmlformats.org/drawingml/2006/picture">
                        <pic:nvPicPr>
                          <pic:cNvPr id="6" name="Text_Box_5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1" name="Text_Box_9_SpCnt_1"/>
                  <wp:cNvGraphicFramePr/>
                  <a:graphic xmlns:a="http://schemas.openxmlformats.org/drawingml/2006/main">
                    <a:graphicData uri="http://schemas.openxmlformats.org/drawingml/2006/picture">
                      <pic:pic xmlns:pic="http://schemas.openxmlformats.org/drawingml/2006/picture">
                        <pic:nvPicPr>
                          <pic:cNvPr id="11" name="Text_Box_9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7" name="Text_Box_12"/>
                  <wp:cNvGraphicFramePr/>
                  <a:graphic xmlns:a="http://schemas.openxmlformats.org/drawingml/2006/main">
                    <a:graphicData uri="http://schemas.openxmlformats.org/drawingml/2006/picture">
                      <pic:pic xmlns:pic="http://schemas.openxmlformats.org/drawingml/2006/picture">
                        <pic:nvPicPr>
                          <pic:cNvPr id="7" name="Text_Box_1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2" name="Text_Box_10"/>
                  <wp:cNvGraphicFramePr/>
                  <a:graphic xmlns:a="http://schemas.openxmlformats.org/drawingml/2006/main">
                    <a:graphicData uri="http://schemas.openxmlformats.org/drawingml/2006/picture">
                      <pic:pic xmlns:pic="http://schemas.openxmlformats.org/drawingml/2006/picture">
                        <pic:nvPicPr>
                          <pic:cNvPr id="12" name="Text_Box_10"/>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3" name="Text_Box_9_SpCnt_2"/>
                  <wp:cNvGraphicFramePr/>
                  <a:graphic xmlns:a="http://schemas.openxmlformats.org/drawingml/2006/main">
                    <a:graphicData uri="http://schemas.openxmlformats.org/drawingml/2006/picture">
                      <pic:pic xmlns:pic="http://schemas.openxmlformats.org/drawingml/2006/picture">
                        <pic:nvPicPr>
                          <pic:cNvPr id="13" name="Text_Box_9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4" name="Text_Box_7"/>
                  <wp:cNvGraphicFramePr/>
                  <a:graphic xmlns:a="http://schemas.openxmlformats.org/drawingml/2006/main">
                    <a:graphicData uri="http://schemas.openxmlformats.org/drawingml/2006/picture">
                      <pic:pic xmlns:pic="http://schemas.openxmlformats.org/drawingml/2006/picture">
                        <pic:nvPicPr>
                          <pic:cNvPr id="14" name="Text_Box_7"/>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 name="Text_Box_5_SpCnt_2"/>
                  <wp:cNvGraphicFramePr/>
                  <a:graphic xmlns:a="http://schemas.openxmlformats.org/drawingml/2006/main">
                    <a:graphicData uri="http://schemas.openxmlformats.org/drawingml/2006/picture">
                      <pic:pic xmlns:pic="http://schemas.openxmlformats.org/drawingml/2006/picture">
                        <pic:nvPicPr>
                          <pic:cNvPr id="5" name="Text_Box_5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0" name="Text_Box_14"/>
                  <wp:cNvGraphicFramePr/>
                  <a:graphic xmlns:a="http://schemas.openxmlformats.org/drawingml/2006/main">
                    <a:graphicData uri="http://schemas.openxmlformats.org/drawingml/2006/picture">
                      <pic:pic xmlns:pic="http://schemas.openxmlformats.org/drawingml/2006/picture">
                        <pic:nvPicPr>
                          <pic:cNvPr id="10" name="Text_Box_14"/>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7" name="Text_Box_12_SpCnt_1"/>
                  <wp:cNvGraphicFramePr/>
                  <a:graphic xmlns:a="http://schemas.openxmlformats.org/drawingml/2006/main">
                    <a:graphicData uri="http://schemas.openxmlformats.org/drawingml/2006/picture">
                      <pic:pic xmlns:pic="http://schemas.openxmlformats.org/drawingml/2006/picture">
                        <pic:nvPicPr>
                          <pic:cNvPr id="17" name="Text_Box_12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9" name="Text_Box_7_SpCnt_1"/>
                  <wp:cNvGraphicFramePr/>
                  <a:graphic xmlns:a="http://schemas.openxmlformats.org/drawingml/2006/main">
                    <a:graphicData uri="http://schemas.openxmlformats.org/drawingml/2006/picture">
                      <pic:pic xmlns:pic="http://schemas.openxmlformats.org/drawingml/2006/picture">
                        <pic:nvPicPr>
                          <pic:cNvPr id="19" name="Text_Box_7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5" name="Text_Box_10_SpCnt_1"/>
                  <wp:cNvGraphicFramePr/>
                  <a:graphic xmlns:a="http://schemas.openxmlformats.org/drawingml/2006/main">
                    <a:graphicData uri="http://schemas.openxmlformats.org/drawingml/2006/picture">
                      <pic:pic xmlns:pic="http://schemas.openxmlformats.org/drawingml/2006/picture">
                        <pic:nvPicPr>
                          <pic:cNvPr id="15" name="Text_Box_10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6" name="Text_Box_5_SpCnt_3"/>
                  <wp:cNvGraphicFramePr/>
                  <a:graphic xmlns:a="http://schemas.openxmlformats.org/drawingml/2006/main">
                    <a:graphicData uri="http://schemas.openxmlformats.org/drawingml/2006/picture">
                      <pic:pic xmlns:pic="http://schemas.openxmlformats.org/drawingml/2006/picture">
                        <pic:nvPicPr>
                          <pic:cNvPr id="16" name="Text_Box_5_SpCnt_3"/>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8" name="Text_Box_14_SpCnt_1"/>
                  <wp:cNvGraphicFramePr/>
                  <a:graphic xmlns:a="http://schemas.openxmlformats.org/drawingml/2006/main">
                    <a:graphicData uri="http://schemas.openxmlformats.org/drawingml/2006/picture">
                      <pic:pic xmlns:pic="http://schemas.openxmlformats.org/drawingml/2006/picture">
                        <pic:nvPicPr>
                          <pic:cNvPr id="18" name="Text_Box_14_SpCnt_1"/>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0" name="Text_Box_12_SpCnt_2"/>
                  <wp:cNvGraphicFramePr/>
                  <a:graphic xmlns:a="http://schemas.openxmlformats.org/drawingml/2006/main">
                    <a:graphicData uri="http://schemas.openxmlformats.org/drawingml/2006/picture">
                      <pic:pic xmlns:pic="http://schemas.openxmlformats.org/drawingml/2006/picture">
                        <pic:nvPicPr>
                          <pic:cNvPr id="20" name="Text_Box_12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1" name="Text_Box_10_SpCnt_2"/>
                  <wp:cNvGraphicFramePr/>
                  <a:graphic xmlns:a="http://schemas.openxmlformats.org/drawingml/2006/main">
                    <a:graphicData uri="http://schemas.openxmlformats.org/drawingml/2006/picture">
                      <pic:pic xmlns:pic="http://schemas.openxmlformats.org/drawingml/2006/picture">
                        <pic:nvPicPr>
                          <pic:cNvPr id="21" name="Text_Box_10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 name="Text_Box_9_SpCnt_3"/>
                  <wp:cNvGraphicFramePr/>
                  <a:graphic xmlns:a="http://schemas.openxmlformats.org/drawingml/2006/main">
                    <a:graphicData uri="http://schemas.openxmlformats.org/drawingml/2006/picture">
                      <pic:pic xmlns:pic="http://schemas.openxmlformats.org/drawingml/2006/picture">
                        <pic:nvPicPr>
                          <pic:cNvPr id="1" name="Text_Box_9_SpCnt_3"/>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2" name="Text_Box_14_SpCnt_2"/>
                  <wp:cNvGraphicFramePr/>
                  <a:graphic xmlns:a="http://schemas.openxmlformats.org/drawingml/2006/main">
                    <a:graphicData uri="http://schemas.openxmlformats.org/drawingml/2006/picture">
                      <pic:pic xmlns:pic="http://schemas.openxmlformats.org/drawingml/2006/picture">
                        <pic:nvPicPr>
                          <pic:cNvPr id="22" name="Text_Box_14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 name="Text_Box_7_SpCnt_2"/>
                  <wp:cNvGraphicFramePr/>
                  <a:graphic xmlns:a="http://schemas.openxmlformats.org/drawingml/2006/main">
                    <a:graphicData uri="http://schemas.openxmlformats.org/drawingml/2006/picture">
                      <pic:pic xmlns:pic="http://schemas.openxmlformats.org/drawingml/2006/picture">
                        <pic:nvPicPr>
                          <pic:cNvPr id="2" name="Text_Box_7_SpCnt_2"/>
                          <pic:cNvPicPr/>
                        </pic:nvPicPr>
                        <pic:blipFill>
                          <a:blip r:embed="rId8"/>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 name="Text_Box_12_SpCnt_3"/>
                  <wp:cNvGraphicFramePr/>
                  <a:graphic xmlns:a="http://schemas.openxmlformats.org/drawingml/2006/main">
                    <a:graphicData uri="http://schemas.openxmlformats.org/drawingml/2006/picture">
                      <pic:pic xmlns:pic="http://schemas.openxmlformats.org/drawingml/2006/picture">
                        <pic:nvPicPr>
                          <pic:cNvPr id="4" name="Text_Box_12_SpCnt_3"/>
                          <pic:cNvPicPr/>
                        </pic:nvPicPr>
                        <pic:blipFill>
                          <a:blip r:embed="rId9"/>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 name="Text_Box_7_SpCnt_3"/>
                  <wp:cNvGraphicFramePr/>
                  <a:graphic xmlns:a="http://schemas.openxmlformats.org/drawingml/2006/main">
                    <a:graphicData uri="http://schemas.openxmlformats.org/drawingml/2006/picture">
                      <pic:pic xmlns:pic="http://schemas.openxmlformats.org/drawingml/2006/picture">
                        <pic:nvPicPr>
                          <pic:cNvPr id="3" name="Text_Box_7_SpCnt_3"/>
                          <pic:cNvPicPr/>
                        </pic:nvPicPr>
                        <pic:blipFill>
                          <a:blip r:embed="rId10"/>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3" name="Text_Box_10_SpCnt_3"/>
                  <wp:cNvGraphicFramePr/>
                  <a:graphic xmlns:a="http://schemas.openxmlformats.org/drawingml/2006/main">
                    <a:graphicData uri="http://schemas.openxmlformats.org/drawingml/2006/picture">
                      <pic:pic xmlns:pic="http://schemas.openxmlformats.org/drawingml/2006/picture">
                        <pic:nvPicPr>
                          <pic:cNvPr id="23" name="Text_Box_10_SpCnt_3"/>
                          <pic:cNvPicPr/>
                        </pic:nvPicPr>
                        <pic:blipFill>
                          <a:blip r:embed="rId11"/>
                          <a:stretch>
                            <a:fillRect/>
                          </a:stretch>
                        </pic:blipFill>
                        <pic:spPr>
                          <a:xfrm>
                            <a:off x="0" y="0"/>
                            <a:ext cx="152400" cy="161925"/>
                          </a:xfrm>
                          <a:prstGeom prst="rect">
                            <a:avLst/>
                          </a:prstGeom>
                          <a:noFill/>
                          <a:ln>
                            <a:noFill/>
                          </a:ln>
                        </pic:spPr>
                      </pic:pic>
                    </a:graphicData>
                  </a:graphic>
                </wp:anchor>
              </w:drawing>
            </w: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56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EF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bdr w:val="single" w:color="000000" w:sz="4" w:space="0"/>
                <w:lang w:val="en-US" w:eastAsia="zh-CN" w:bidi="ar"/>
              </w:rPr>
            </w:pPr>
          </w:p>
        </w:tc>
      </w:tr>
      <w:tr w14:paraId="48D3C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43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6F21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注：以上报价含可抵扣的增值税专用发票、运费、卸货以及调试相关服务费用。</w:t>
            </w:r>
          </w:p>
        </w:tc>
      </w:tr>
      <w:tr w14:paraId="4271D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2"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200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C4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kern w:val="2"/>
                <w:sz w:val="24"/>
                <w:szCs w:val="24"/>
                <w:u w:val="none"/>
                <w:lang w:val="en-US" w:eastAsia="zh-CN" w:bidi="ar-SA"/>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273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是否接受履约保证金（成交金额的10%）</w:t>
            </w:r>
          </w:p>
        </w:tc>
        <w:tc>
          <w:tcPr>
            <w:tcW w:w="47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F415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kern w:val="2"/>
                <w:sz w:val="24"/>
                <w:szCs w:val="24"/>
                <w:u w:val="none"/>
                <w:lang w:val="en-US" w:eastAsia="zh-CN" w:bidi="ar-SA"/>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3062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4"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39D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AB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2年</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CB6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47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249B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3CF3D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6" w:hRule="atLeast"/>
        </w:trPr>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CDF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EC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7天</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191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7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76E6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7378B733">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调试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32CF0848"/>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BD280C"/>
    <w:rsid w:val="02BD7BE0"/>
    <w:rsid w:val="03626CD0"/>
    <w:rsid w:val="03BB36BB"/>
    <w:rsid w:val="044B7594"/>
    <w:rsid w:val="04741F2A"/>
    <w:rsid w:val="04F15CAC"/>
    <w:rsid w:val="058E7D29"/>
    <w:rsid w:val="05BE3D95"/>
    <w:rsid w:val="06E65ABA"/>
    <w:rsid w:val="07CC21FA"/>
    <w:rsid w:val="07D76E00"/>
    <w:rsid w:val="08193505"/>
    <w:rsid w:val="082F30B8"/>
    <w:rsid w:val="08416D9C"/>
    <w:rsid w:val="0886108C"/>
    <w:rsid w:val="098841F2"/>
    <w:rsid w:val="09DB488A"/>
    <w:rsid w:val="09FE7C7D"/>
    <w:rsid w:val="0A443009"/>
    <w:rsid w:val="0A831766"/>
    <w:rsid w:val="0A960E3D"/>
    <w:rsid w:val="0BC2638F"/>
    <w:rsid w:val="0BDC6B78"/>
    <w:rsid w:val="0C882A07"/>
    <w:rsid w:val="0CD142BE"/>
    <w:rsid w:val="0D681C76"/>
    <w:rsid w:val="0D78696A"/>
    <w:rsid w:val="0DBF30C4"/>
    <w:rsid w:val="0DD96789"/>
    <w:rsid w:val="0F0F7410"/>
    <w:rsid w:val="100159F1"/>
    <w:rsid w:val="10275305"/>
    <w:rsid w:val="10941E2C"/>
    <w:rsid w:val="115C3F6A"/>
    <w:rsid w:val="11B738C7"/>
    <w:rsid w:val="11F315DF"/>
    <w:rsid w:val="133B07D3"/>
    <w:rsid w:val="138B678C"/>
    <w:rsid w:val="13A43BC7"/>
    <w:rsid w:val="144B0B25"/>
    <w:rsid w:val="14F94AB5"/>
    <w:rsid w:val="1516314A"/>
    <w:rsid w:val="157C124F"/>
    <w:rsid w:val="15B405D8"/>
    <w:rsid w:val="16B37629"/>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E434544"/>
    <w:rsid w:val="1F444EB4"/>
    <w:rsid w:val="1F741D8C"/>
    <w:rsid w:val="1FC0011B"/>
    <w:rsid w:val="1FF000D2"/>
    <w:rsid w:val="1FF040AD"/>
    <w:rsid w:val="200C3464"/>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0556B4"/>
    <w:rsid w:val="292E08DE"/>
    <w:rsid w:val="29C64297"/>
    <w:rsid w:val="29E622D3"/>
    <w:rsid w:val="2A121112"/>
    <w:rsid w:val="2A225DF1"/>
    <w:rsid w:val="2B6A410E"/>
    <w:rsid w:val="2B7C5A1B"/>
    <w:rsid w:val="2B9E5DD1"/>
    <w:rsid w:val="2C761843"/>
    <w:rsid w:val="2CA65081"/>
    <w:rsid w:val="2D4E2C33"/>
    <w:rsid w:val="2DC647A7"/>
    <w:rsid w:val="2E1B2848"/>
    <w:rsid w:val="2E1C17E4"/>
    <w:rsid w:val="2E342253"/>
    <w:rsid w:val="2E4379B4"/>
    <w:rsid w:val="2FA05CF7"/>
    <w:rsid w:val="300D6BCC"/>
    <w:rsid w:val="30A001AC"/>
    <w:rsid w:val="31140310"/>
    <w:rsid w:val="318F1FBE"/>
    <w:rsid w:val="337A506E"/>
    <w:rsid w:val="339B7C29"/>
    <w:rsid w:val="345319C9"/>
    <w:rsid w:val="37606A33"/>
    <w:rsid w:val="37630999"/>
    <w:rsid w:val="37A7439E"/>
    <w:rsid w:val="37CA2BC5"/>
    <w:rsid w:val="37F03342"/>
    <w:rsid w:val="38544E55"/>
    <w:rsid w:val="39064FC8"/>
    <w:rsid w:val="39963E4D"/>
    <w:rsid w:val="3A2C48CD"/>
    <w:rsid w:val="3B0F7CBC"/>
    <w:rsid w:val="3B275F4B"/>
    <w:rsid w:val="3B8327D0"/>
    <w:rsid w:val="3D2363DE"/>
    <w:rsid w:val="3DA64A40"/>
    <w:rsid w:val="3E015FF2"/>
    <w:rsid w:val="3E4F32EC"/>
    <w:rsid w:val="3E5157CB"/>
    <w:rsid w:val="3E6D1EE0"/>
    <w:rsid w:val="40130CAF"/>
    <w:rsid w:val="40490B34"/>
    <w:rsid w:val="420E65EA"/>
    <w:rsid w:val="421050D4"/>
    <w:rsid w:val="42A9416B"/>
    <w:rsid w:val="42BF1B92"/>
    <w:rsid w:val="435E2995"/>
    <w:rsid w:val="43757937"/>
    <w:rsid w:val="43966372"/>
    <w:rsid w:val="43C5781D"/>
    <w:rsid w:val="44B85878"/>
    <w:rsid w:val="44EF43A5"/>
    <w:rsid w:val="45D3296A"/>
    <w:rsid w:val="45F5164B"/>
    <w:rsid w:val="468C2B4D"/>
    <w:rsid w:val="46AE2EAA"/>
    <w:rsid w:val="477060B2"/>
    <w:rsid w:val="47D32116"/>
    <w:rsid w:val="48116822"/>
    <w:rsid w:val="48832749"/>
    <w:rsid w:val="493C6A78"/>
    <w:rsid w:val="49AB2DE5"/>
    <w:rsid w:val="4A0D21C2"/>
    <w:rsid w:val="4A0E06F8"/>
    <w:rsid w:val="4B1A7BD1"/>
    <w:rsid w:val="4BB038DA"/>
    <w:rsid w:val="4C5B4691"/>
    <w:rsid w:val="4C73767A"/>
    <w:rsid w:val="4D030046"/>
    <w:rsid w:val="4D871781"/>
    <w:rsid w:val="4E802F1D"/>
    <w:rsid w:val="4EF042FA"/>
    <w:rsid w:val="4FAF448B"/>
    <w:rsid w:val="50417986"/>
    <w:rsid w:val="50F73FA0"/>
    <w:rsid w:val="515E18DF"/>
    <w:rsid w:val="51765D9A"/>
    <w:rsid w:val="517D0941"/>
    <w:rsid w:val="521C7398"/>
    <w:rsid w:val="52446C35"/>
    <w:rsid w:val="527E16D3"/>
    <w:rsid w:val="528B2778"/>
    <w:rsid w:val="52C14E18"/>
    <w:rsid w:val="5316709E"/>
    <w:rsid w:val="534B7B17"/>
    <w:rsid w:val="53784B50"/>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E226DD"/>
    <w:rsid w:val="600F4147"/>
    <w:rsid w:val="60C33852"/>
    <w:rsid w:val="61547E11"/>
    <w:rsid w:val="61852A60"/>
    <w:rsid w:val="62567581"/>
    <w:rsid w:val="631F4682"/>
    <w:rsid w:val="63D4721D"/>
    <w:rsid w:val="640673E3"/>
    <w:rsid w:val="640F17B5"/>
    <w:rsid w:val="64467711"/>
    <w:rsid w:val="64E752C4"/>
    <w:rsid w:val="652F7039"/>
    <w:rsid w:val="65DA0DD4"/>
    <w:rsid w:val="65F729C7"/>
    <w:rsid w:val="66934D57"/>
    <w:rsid w:val="66A27154"/>
    <w:rsid w:val="66A80E51"/>
    <w:rsid w:val="677551D7"/>
    <w:rsid w:val="68577F92"/>
    <w:rsid w:val="698D373B"/>
    <w:rsid w:val="69FD1FFD"/>
    <w:rsid w:val="6A2B5BCA"/>
    <w:rsid w:val="6AA75C6E"/>
    <w:rsid w:val="6ACE48EB"/>
    <w:rsid w:val="6BB31049"/>
    <w:rsid w:val="6BF15785"/>
    <w:rsid w:val="6C0C6AEF"/>
    <w:rsid w:val="6C1442B0"/>
    <w:rsid w:val="6CF430F2"/>
    <w:rsid w:val="6D3C0639"/>
    <w:rsid w:val="6DB96BEC"/>
    <w:rsid w:val="6F141779"/>
    <w:rsid w:val="6F321DFD"/>
    <w:rsid w:val="6F575DD1"/>
    <w:rsid w:val="70155795"/>
    <w:rsid w:val="702E6762"/>
    <w:rsid w:val="70314EAA"/>
    <w:rsid w:val="706B3AE0"/>
    <w:rsid w:val="70A15D8A"/>
    <w:rsid w:val="71270FB3"/>
    <w:rsid w:val="71E07B02"/>
    <w:rsid w:val="71F66174"/>
    <w:rsid w:val="72C34258"/>
    <w:rsid w:val="73CE218C"/>
    <w:rsid w:val="74AA472D"/>
    <w:rsid w:val="768165E1"/>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9455</Words>
  <Characters>10213</Characters>
  <Lines>0</Lines>
  <Paragraphs>0</Paragraphs>
  <TotalTime>0</TotalTime>
  <ScaleCrop>false</ScaleCrop>
  <LinksUpToDate>false</LinksUpToDate>
  <CharactersWithSpaces>10865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昕晴Amy</cp:lastModifiedBy>
  <cp:lastPrinted>2023-11-07T01:59:00Z</cp:lastPrinted>
  <dcterms:modified xsi:type="dcterms:W3CDTF">2026-08-22T03:08:56Z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68B33E7788F340AB83EF2B095DCC311A_13</vt:lpwstr>
  </property>
  <property fmtid="{D5CDD505-2E9C-101B-9397-08002B2CF9AE}" pid="4" name="KSOTemplateDocerSaveRecord">
    <vt:lpwstr>eyJoZGlkIjoiODQxOGI3YmU3NTI5MzUwZjkwOWVjODQ3NGEwZTRmNzciLCJ1c2VySWQiOiI2OTk3Mjg4NzkifQ==</vt:lpwstr>
  </property>
</Properties>
</file>