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会议平板</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616A341A">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0121C920">
      <w:pPr>
        <w:pStyle w:val="15"/>
        <w:rPr>
          <w:rFonts w:hint="eastAsia"/>
        </w:rPr>
        <w:sectPr>
          <w:pgSz w:w="11906" w:h="16838"/>
          <w:pgMar w:top="1440" w:right="1800" w:bottom="1440" w:left="1800" w:header="851" w:footer="992" w:gutter="0"/>
          <w:cols w:space="425" w:num="1"/>
          <w:docGrid w:type="lines" w:linePitch="312" w:charSpace="0"/>
        </w:sectPr>
      </w:pPr>
    </w:p>
    <w:p w14:paraId="00C476FE">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76417C70">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054A46F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28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5"/>
        <w:gridCol w:w="1516"/>
        <w:gridCol w:w="3702"/>
        <w:gridCol w:w="965"/>
        <w:gridCol w:w="966"/>
        <w:gridCol w:w="1355"/>
        <w:gridCol w:w="965"/>
        <w:gridCol w:w="1034"/>
        <w:gridCol w:w="1342"/>
      </w:tblGrid>
      <w:tr w14:paraId="2E1C4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2810" w:type="dxa"/>
            <w:gridSpan w:val="9"/>
            <w:tcBorders>
              <w:top w:val="nil"/>
              <w:left w:val="nil"/>
              <w:bottom w:val="nil"/>
              <w:right w:val="nil"/>
            </w:tcBorders>
            <w:shd w:val="clear" w:color="auto" w:fill="auto"/>
            <w:vAlign w:val="center"/>
          </w:tcPr>
          <w:p w14:paraId="75BDFD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56FA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0ECD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B03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1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7A2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4696" w:type="dxa"/>
            <w:gridSpan w:val="4"/>
            <w:tcBorders>
              <w:top w:val="single" w:color="000000" w:sz="4" w:space="0"/>
              <w:left w:val="nil"/>
              <w:bottom w:val="single" w:color="000000" w:sz="4" w:space="0"/>
              <w:right w:val="single" w:color="000000" w:sz="4" w:space="0"/>
            </w:tcBorders>
            <w:shd w:val="clear" w:color="auto" w:fill="auto"/>
            <w:noWrap/>
            <w:vAlign w:val="center"/>
          </w:tcPr>
          <w:p w14:paraId="2BAC5E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2"/>
                <w:szCs w:val="22"/>
                <w:u w:val="none"/>
                <w:lang w:val="en-US" w:eastAsia="zh-CN" w:bidi="ar"/>
              </w:rPr>
              <w:t>必填（盖章）</w:t>
            </w:r>
          </w:p>
        </w:tc>
      </w:tr>
      <w:tr w14:paraId="0A3D6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FF01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89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2FC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4696" w:type="dxa"/>
            <w:gridSpan w:val="4"/>
            <w:tcBorders>
              <w:top w:val="single" w:color="000000" w:sz="4" w:space="0"/>
              <w:left w:val="nil"/>
              <w:bottom w:val="single" w:color="000000" w:sz="4" w:space="0"/>
              <w:right w:val="single" w:color="000000" w:sz="4" w:space="0"/>
            </w:tcBorders>
            <w:shd w:val="clear" w:color="auto" w:fill="auto"/>
            <w:noWrap/>
            <w:vAlign w:val="center"/>
          </w:tcPr>
          <w:p w14:paraId="26D09C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2"/>
                <w:szCs w:val="22"/>
                <w:u w:val="none"/>
                <w:lang w:val="en-US" w:eastAsia="zh-CN" w:bidi="ar"/>
              </w:rPr>
              <w:t>必填</w:t>
            </w:r>
          </w:p>
        </w:tc>
      </w:tr>
      <w:tr w14:paraId="54782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A6E6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A0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B94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696" w:type="dxa"/>
            <w:gridSpan w:val="4"/>
            <w:tcBorders>
              <w:top w:val="single" w:color="000000" w:sz="4" w:space="0"/>
              <w:left w:val="nil"/>
              <w:bottom w:val="single" w:color="000000" w:sz="4" w:space="0"/>
              <w:right w:val="single" w:color="000000" w:sz="4" w:space="0"/>
            </w:tcBorders>
            <w:shd w:val="clear" w:color="auto" w:fill="auto"/>
            <w:noWrap/>
            <w:vAlign w:val="center"/>
          </w:tcPr>
          <w:p w14:paraId="491EF9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2"/>
                <w:szCs w:val="22"/>
                <w:u w:val="none"/>
                <w:lang w:val="en-US" w:eastAsia="zh-CN" w:bidi="ar"/>
              </w:rPr>
              <w:t>必填</w:t>
            </w:r>
          </w:p>
        </w:tc>
      </w:tr>
      <w:tr w14:paraId="6B778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D67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46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1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A7F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696" w:type="dxa"/>
            <w:gridSpan w:val="4"/>
            <w:tcBorders>
              <w:top w:val="single" w:color="000000" w:sz="4" w:space="0"/>
              <w:left w:val="nil"/>
              <w:bottom w:val="single" w:color="000000" w:sz="4" w:space="0"/>
              <w:right w:val="single" w:color="000000" w:sz="4" w:space="0"/>
            </w:tcBorders>
            <w:shd w:val="clear" w:color="auto" w:fill="auto"/>
            <w:noWrap/>
            <w:vAlign w:val="center"/>
          </w:tcPr>
          <w:p w14:paraId="2AD244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2"/>
                <w:szCs w:val="22"/>
                <w:u w:val="none"/>
                <w:lang w:val="en-US" w:eastAsia="zh-CN" w:bidi="ar"/>
              </w:rPr>
              <w:t>必填</w:t>
            </w:r>
          </w:p>
        </w:tc>
      </w:tr>
      <w:tr w14:paraId="64248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DCA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86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E97D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4696" w:type="dxa"/>
            <w:gridSpan w:val="4"/>
            <w:tcBorders>
              <w:top w:val="single" w:color="000000" w:sz="4" w:space="0"/>
              <w:left w:val="nil"/>
              <w:bottom w:val="single" w:color="000000" w:sz="4" w:space="0"/>
              <w:right w:val="single" w:color="000000" w:sz="4" w:space="0"/>
            </w:tcBorders>
            <w:shd w:val="clear" w:color="auto" w:fill="auto"/>
            <w:noWrap/>
            <w:vAlign w:val="center"/>
          </w:tcPr>
          <w:p w14:paraId="60F731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2"/>
                <w:szCs w:val="22"/>
                <w:u w:val="none"/>
                <w:lang w:val="en-US" w:eastAsia="zh-CN" w:bidi="ar"/>
              </w:rPr>
              <w:t>必填</w:t>
            </w:r>
          </w:p>
        </w:tc>
      </w:tr>
      <w:tr w14:paraId="322AA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2E7D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5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5F20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7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6EB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D9D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966" w:type="dxa"/>
            <w:vMerge w:val="restart"/>
            <w:tcBorders>
              <w:top w:val="single" w:color="000000" w:sz="4" w:space="0"/>
              <w:left w:val="single" w:color="000000" w:sz="4" w:space="0"/>
              <w:right w:val="single" w:color="000000" w:sz="4" w:space="0"/>
            </w:tcBorders>
            <w:shd w:val="clear" w:color="auto" w:fill="auto"/>
            <w:vAlign w:val="center"/>
          </w:tcPr>
          <w:p w14:paraId="7FE770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数量</w:t>
            </w:r>
          </w:p>
        </w:tc>
        <w:tc>
          <w:tcPr>
            <w:tcW w:w="13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AF0C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品牌</w:t>
            </w:r>
            <w:r>
              <w:rPr>
                <w:rFonts w:hint="eastAsia" w:ascii="宋体" w:hAnsi="宋体" w:cs="宋体"/>
                <w:i w:val="0"/>
                <w:iCs w:val="0"/>
                <w:color w:val="000000"/>
                <w:kern w:val="0"/>
                <w:sz w:val="24"/>
                <w:szCs w:val="24"/>
                <w:u w:val="none"/>
                <w:lang w:val="en-US" w:eastAsia="zh-CN" w:bidi="ar"/>
              </w:rPr>
              <w:t>型号</w:t>
            </w:r>
          </w:p>
        </w:tc>
        <w:tc>
          <w:tcPr>
            <w:tcW w:w="1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D75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pPr>
            <w:r>
              <w:rPr>
                <w:rFonts w:hint="eastAsia" w:ascii="宋体" w:hAnsi="宋体" w:eastAsia="宋体" w:cs="宋体"/>
                <w:i w:val="0"/>
                <w:iCs w:val="0"/>
                <w:color w:val="000000"/>
                <w:kern w:val="0"/>
                <w:sz w:val="24"/>
                <w:szCs w:val="24"/>
                <w:u w:val="none"/>
                <w:lang w:val="en-US" w:eastAsia="zh-CN" w:bidi="ar"/>
              </w:rPr>
              <w:t>金额（元）</w:t>
            </w:r>
          </w:p>
        </w:tc>
        <w:tc>
          <w:tcPr>
            <w:tcW w:w="13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F5AE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0B186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4A64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EFB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3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077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293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966" w:type="dxa"/>
            <w:vMerge w:val="continue"/>
            <w:tcBorders>
              <w:left w:val="single" w:color="000000" w:sz="4" w:space="0"/>
              <w:bottom w:val="single" w:color="000000" w:sz="4" w:space="0"/>
              <w:right w:val="single" w:color="000000" w:sz="4" w:space="0"/>
            </w:tcBorders>
            <w:shd w:val="clear" w:color="auto" w:fill="auto"/>
            <w:vAlign w:val="center"/>
          </w:tcPr>
          <w:p w14:paraId="4DDB2B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3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75F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CD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B4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3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CAF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pPr>
          </w:p>
        </w:tc>
      </w:tr>
      <w:tr w14:paraId="28427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96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472634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40A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会议平板</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29A1">
            <w:pPr>
              <w:keepNext w:val="0"/>
              <w:keepLines w:val="0"/>
              <w:widowControl/>
              <w:suppressLineNumbers w:val="0"/>
              <w:ind w:firstLine="440" w:firstLineChars="20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1.设备须内置摄像头、麦克风、扬声器、触摸屏等，整机屏幕边缘采用金属包边，</w:t>
            </w:r>
            <w:r>
              <w:rPr>
                <w:rFonts w:hint="eastAsia" w:ascii="宋体" w:hAnsi="宋体" w:eastAsia="宋体" w:cs="宋体"/>
                <w:i w:val="0"/>
                <w:iCs w:val="0"/>
                <w:color w:val="FF0000"/>
                <w:kern w:val="0"/>
                <w:sz w:val="22"/>
                <w:szCs w:val="22"/>
                <w:u w:val="none"/>
                <w:lang w:val="en-US" w:eastAsia="zh-CN" w:bidi="ar"/>
              </w:rPr>
              <w:t>液晶屏显示尺寸≥75英寸，显示比例16:9</w:t>
            </w:r>
            <w:r>
              <w:rPr>
                <w:rFonts w:hint="eastAsia" w:ascii="宋体" w:hAnsi="宋体" w:eastAsia="宋体" w:cs="宋体"/>
                <w:i w:val="0"/>
                <w:iCs w:val="0"/>
                <w:color w:val="000000"/>
                <w:kern w:val="0"/>
                <w:sz w:val="22"/>
                <w:szCs w:val="22"/>
                <w:u w:val="none"/>
                <w:lang w:val="en-US" w:eastAsia="zh-CN" w:bidi="ar"/>
              </w:rPr>
              <w:t>；分辨率≥</w:t>
            </w:r>
            <w:r>
              <w:rPr>
                <w:rFonts w:hint="eastAsia" w:ascii="宋体" w:hAnsi="宋体" w:eastAsia="宋体" w:cs="宋体"/>
                <w:i w:val="0"/>
                <w:iCs w:val="0"/>
                <w:color w:val="FF0000"/>
                <w:kern w:val="0"/>
                <w:sz w:val="22"/>
                <w:szCs w:val="22"/>
                <w:u w:val="none"/>
                <w:lang w:val="en-US" w:eastAsia="zh-CN" w:bidi="ar"/>
              </w:rPr>
              <w:t>3840*2160</w:t>
            </w:r>
            <w:r>
              <w:rPr>
                <w:rFonts w:hint="eastAsia" w:ascii="宋体" w:hAnsi="宋体" w:eastAsia="宋体" w:cs="宋体"/>
                <w:i w:val="0"/>
                <w:iCs w:val="0"/>
                <w:color w:val="000000"/>
                <w:kern w:val="0"/>
                <w:sz w:val="22"/>
                <w:szCs w:val="22"/>
                <w:u w:val="none"/>
                <w:lang w:val="en-US" w:eastAsia="zh-CN" w:bidi="ar"/>
              </w:rPr>
              <w:t>，可视角度≥178°，采用红外感应技术，在双系统下均支持不少于20点触控；屏幕贴合方式：零贴合。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2.屏体物理防蓝光，产品前面板独立物理按钮数量≤1，可实现开机、息屏、唤醒、长按关机功能。设备须提供标准模块化电脑（OPS）通用的80针接口，以满足后续模块化电脑配置升级的需求。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3.摄像机视频输出分辨率</w:t>
            </w:r>
            <w:r>
              <w:rPr>
                <w:rFonts w:hint="eastAsia" w:ascii="宋体" w:hAnsi="宋体" w:eastAsia="宋体" w:cs="宋体"/>
                <w:i w:val="0"/>
                <w:iCs w:val="0"/>
                <w:color w:val="FF0000"/>
                <w:kern w:val="0"/>
                <w:sz w:val="22"/>
                <w:szCs w:val="22"/>
                <w:u w:val="none"/>
                <w:lang w:val="en-US" w:eastAsia="zh-CN" w:bidi="ar"/>
              </w:rPr>
              <w:t>≥1080P,光圈，F1.8,支持≥2倍数字变焦；内置≥6个数字阵列麦克风，拾音距离≥8米</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4.内置无线网卡，支持双系统下接入</w:t>
            </w:r>
            <w:r>
              <w:rPr>
                <w:rFonts w:hint="eastAsia" w:ascii="宋体" w:hAnsi="宋体" w:eastAsia="宋体" w:cs="宋体"/>
                <w:i w:val="0"/>
                <w:iCs w:val="0"/>
                <w:color w:val="FF0000"/>
                <w:kern w:val="0"/>
                <w:sz w:val="22"/>
                <w:szCs w:val="22"/>
                <w:u w:val="none"/>
                <w:lang w:val="en-US" w:eastAsia="zh-CN" w:bidi="ar"/>
              </w:rPr>
              <w:t>2.4G/5G双频无线网络，支持802.11 a/b/g/n/ac无线网络协议</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须支持智能操作系统（鸿蒙、Android等）双系统，只需一根网线，双系统均可实现上网功能。内置的智能操作系统ROM≥32GB，RAM≥4GB，需支持在线升级；提供不低于4个喇叭单元，包含至少2个高音喇叭单元及2个全频喇叭单元。需具有以下无转接接口：</w:t>
            </w:r>
            <w:r>
              <w:rPr>
                <w:rFonts w:hint="eastAsia" w:ascii="宋体" w:hAnsi="宋体" w:eastAsia="宋体" w:cs="宋体"/>
                <w:i w:val="0"/>
                <w:iCs w:val="0"/>
                <w:color w:val="FF0000"/>
                <w:kern w:val="0"/>
                <w:sz w:val="22"/>
                <w:szCs w:val="22"/>
                <w:u w:val="none"/>
                <w:lang w:val="en-US" w:eastAsia="zh-CN" w:bidi="ar"/>
              </w:rPr>
              <w:t>≥1*Type-C、≥3*USB Type-A、≥2*HDMI IN、≥1*HDMI OUT、≥1*MIC IN、≥1*RJ45、≥1*COM、≥1*USB Type-B。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6.需支持多种投屏方式，须包括但不限于APP投屏、投屏器、NFC一碰投屏、手机下拉菜单软投屏等方式。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7.嵌入式智能操作系统下，内置互动白板须支持2种以上书写笔头，书写延时≤25ms。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8.智能操作系统下无需无外接OPS电脑状态下，互动白板需支持不同背景颜色，可根据学科需要进行调整，白板可增加书写页面，最大可支持100页，书写完成后可导出PDF等格式。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9.欢迎屏功能：须提供不少于3个内置模板，也可以通过本地存储或U盘自定义模板背景图，内置信息窗功能，内置壁纸功能，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10.须支持断点续传功能，终端升级过程中发生网络中断、断电重启，恢复后可断点续传，避免升级失败。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11.配套一个白色落地支架，可移动，含四个万向轮。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w:t>
            </w:r>
            <w:r>
              <w:rPr>
                <w:rFonts w:hint="eastAsia" w:ascii="宋体" w:hAnsi="宋体" w:eastAsia="宋体" w:cs="宋体"/>
                <w:i w:val="0"/>
                <w:iCs w:val="0"/>
                <w:color w:val="FF0000"/>
                <w:kern w:val="0"/>
                <w:sz w:val="22"/>
                <w:szCs w:val="22"/>
                <w:u w:val="none"/>
                <w:lang w:val="en-US" w:eastAsia="zh-CN" w:bidi="ar"/>
              </w:rPr>
              <w:t>开放式可插拔主机-CPU：核心数≥20核，线程数≥28线程，最大睿频频率≥5.4 GHz，缓存≥33 MB</w:t>
            </w:r>
            <w:r>
              <w:rPr>
                <w:rFonts w:hint="eastAsia" w:ascii="宋体" w:hAnsi="宋体" w:eastAsia="宋体" w:cs="宋体"/>
                <w:i w:val="0"/>
                <w:iCs w:val="0"/>
                <w:color w:val="FF0000"/>
                <w:kern w:val="0"/>
                <w:sz w:val="22"/>
                <w:szCs w:val="22"/>
                <w:u w:val="none"/>
                <w:lang w:val="en-US" w:eastAsia="zh-CN" w:bidi="ar"/>
              </w:rPr>
              <w:br w:type="textWrapping"/>
            </w:r>
            <w:r>
              <w:rPr>
                <w:rFonts w:hint="eastAsia" w:ascii="宋体" w:hAnsi="宋体" w:eastAsia="宋体" w:cs="宋体"/>
                <w:i w:val="0"/>
                <w:iCs w:val="0"/>
                <w:color w:val="FF0000"/>
                <w:kern w:val="0"/>
                <w:sz w:val="22"/>
                <w:szCs w:val="22"/>
                <w:u w:val="none"/>
                <w:lang w:val="en-US" w:eastAsia="zh-CN" w:bidi="ar"/>
              </w:rPr>
              <w:t>内存：≥16G DDR5 5600MHz，硬盘：≥512G SSD，</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DC9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7D6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578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华为IHK3-75SU</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C7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34" w:type="dxa"/>
            <w:tcBorders>
              <w:top w:val="nil"/>
              <w:left w:val="single" w:color="000000" w:sz="4" w:space="0"/>
              <w:bottom w:val="single" w:color="000000" w:sz="4" w:space="0"/>
              <w:right w:val="single" w:color="000000" w:sz="4" w:space="0"/>
            </w:tcBorders>
            <w:shd w:val="clear" w:color="auto" w:fill="auto"/>
            <w:vAlign w:val="center"/>
          </w:tcPr>
          <w:p w14:paraId="4537FA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42" w:type="dxa"/>
            <w:tcBorders>
              <w:top w:val="nil"/>
              <w:left w:val="single" w:color="000000" w:sz="4" w:space="0"/>
              <w:bottom w:val="single" w:color="000000" w:sz="4" w:space="0"/>
              <w:right w:val="single" w:color="000000" w:sz="4" w:space="0"/>
            </w:tcBorders>
            <w:shd w:val="clear" w:color="auto" w:fill="auto"/>
            <w:vAlign w:val="center"/>
          </w:tcPr>
          <w:p w14:paraId="050797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5C69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jc w:val="center"/>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5EA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w:t>
            </w:r>
          </w:p>
        </w:tc>
        <w:tc>
          <w:tcPr>
            <w:tcW w:w="118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BFC90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7" name="Text_Box_5"/>
                  <wp:cNvGraphicFramePr/>
                  <a:graphic xmlns:a="http://schemas.openxmlformats.org/drawingml/2006/main">
                    <a:graphicData uri="http://schemas.openxmlformats.org/drawingml/2006/picture">
                      <pic:pic xmlns:pic="http://schemas.openxmlformats.org/drawingml/2006/picture">
                        <pic:nvPicPr>
                          <pic:cNvPr id="47"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8" name="Text_Box_9"/>
                  <wp:cNvGraphicFramePr/>
                  <a:graphic xmlns:a="http://schemas.openxmlformats.org/drawingml/2006/main">
                    <a:graphicData uri="http://schemas.openxmlformats.org/drawingml/2006/picture">
                      <pic:pic xmlns:pic="http://schemas.openxmlformats.org/drawingml/2006/picture">
                        <pic:nvPicPr>
                          <pic:cNvPr id="48" name="Text_Box_9"/>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9" name="Text_Box_5_SpCnt_1"/>
                  <wp:cNvGraphicFramePr/>
                  <a:graphic xmlns:a="http://schemas.openxmlformats.org/drawingml/2006/main">
                    <a:graphicData uri="http://schemas.openxmlformats.org/drawingml/2006/picture">
                      <pic:pic xmlns:pic="http://schemas.openxmlformats.org/drawingml/2006/picture">
                        <pic:nvPicPr>
                          <pic:cNvPr id="49" name="Text_Box_5_SpCnt_1"/>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0" name="Text_Box_9_SpCnt_1"/>
                  <wp:cNvGraphicFramePr/>
                  <a:graphic xmlns:a="http://schemas.openxmlformats.org/drawingml/2006/main">
                    <a:graphicData uri="http://schemas.openxmlformats.org/drawingml/2006/picture">
                      <pic:pic xmlns:pic="http://schemas.openxmlformats.org/drawingml/2006/picture">
                        <pic:nvPicPr>
                          <pic:cNvPr id="50" name="Text_Box_9_SpCnt_1"/>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1" name="Text_Box_12"/>
                  <wp:cNvGraphicFramePr/>
                  <a:graphic xmlns:a="http://schemas.openxmlformats.org/drawingml/2006/main">
                    <a:graphicData uri="http://schemas.openxmlformats.org/drawingml/2006/picture">
                      <pic:pic xmlns:pic="http://schemas.openxmlformats.org/drawingml/2006/picture">
                        <pic:nvPicPr>
                          <pic:cNvPr id="51" name="Text_Box_12"/>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2" name="Text_Box_10"/>
                  <wp:cNvGraphicFramePr/>
                  <a:graphic xmlns:a="http://schemas.openxmlformats.org/drawingml/2006/main">
                    <a:graphicData uri="http://schemas.openxmlformats.org/drawingml/2006/picture">
                      <pic:pic xmlns:pic="http://schemas.openxmlformats.org/drawingml/2006/picture">
                        <pic:nvPicPr>
                          <pic:cNvPr id="52" name="Text_Box_10"/>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3" name="Text_Box_9_SpCnt_2"/>
                  <wp:cNvGraphicFramePr/>
                  <a:graphic xmlns:a="http://schemas.openxmlformats.org/drawingml/2006/main">
                    <a:graphicData uri="http://schemas.openxmlformats.org/drawingml/2006/picture">
                      <pic:pic xmlns:pic="http://schemas.openxmlformats.org/drawingml/2006/picture">
                        <pic:nvPicPr>
                          <pic:cNvPr id="53" name="Text_Box_9_SpCnt_2"/>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4" name="Text_Box_7"/>
                  <wp:cNvGraphicFramePr/>
                  <a:graphic xmlns:a="http://schemas.openxmlformats.org/drawingml/2006/main">
                    <a:graphicData uri="http://schemas.openxmlformats.org/drawingml/2006/picture">
                      <pic:pic xmlns:pic="http://schemas.openxmlformats.org/drawingml/2006/picture">
                        <pic:nvPicPr>
                          <pic:cNvPr id="54" name="Text_Box_7"/>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5" name="Text_Box_5_SpCnt_2"/>
                  <wp:cNvGraphicFramePr/>
                  <a:graphic xmlns:a="http://schemas.openxmlformats.org/drawingml/2006/main">
                    <a:graphicData uri="http://schemas.openxmlformats.org/drawingml/2006/picture">
                      <pic:pic xmlns:pic="http://schemas.openxmlformats.org/drawingml/2006/picture">
                        <pic:nvPicPr>
                          <pic:cNvPr id="55" name="Text_Box_5_SpCnt_2"/>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6" name="Text_Box_14"/>
                  <wp:cNvGraphicFramePr/>
                  <a:graphic xmlns:a="http://schemas.openxmlformats.org/drawingml/2006/main">
                    <a:graphicData uri="http://schemas.openxmlformats.org/drawingml/2006/picture">
                      <pic:pic xmlns:pic="http://schemas.openxmlformats.org/drawingml/2006/picture">
                        <pic:nvPicPr>
                          <pic:cNvPr id="56" name="Text_Box_14"/>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7" name="Text_Box_12_SpCnt_1"/>
                  <wp:cNvGraphicFramePr/>
                  <a:graphic xmlns:a="http://schemas.openxmlformats.org/drawingml/2006/main">
                    <a:graphicData uri="http://schemas.openxmlformats.org/drawingml/2006/picture">
                      <pic:pic xmlns:pic="http://schemas.openxmlformats.org/drawingml/2006/picture">
                        <pic:nvPicPr>
                          <pic:cNvPr id="57" name="Text_Box_12_SpCnt_1"/>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8" name="Text_Box_7_SpCnt_1"/>
                  <wp:cNvGraphicFramePr/>
                  <a:graphic xmlns:a="http://schemas.openxmlformats.org/drawingml/2006/main">
                    <a:graphicData uri="http://schemas.openxmlformats.org/drawingml/2006/picture">
                      <pic:pic xmlns:pic="http://schemas.openxmlformats.org/drawingml/2006/picture">
                        <pic:nvPicPr>
                          <pic:cNvPr id="58" name="Text_Box_7_SpCnt_1"/>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9" name="Text_Box_10_SpCnt_1"/>
                  <wp:cNvGraphicFramePr/>
                  <a:graphic xmlns:a="http://schemas.openxmlformats.org/drawingml/2006/main">
                    <a:graphicData uri="http://schemas.openxmlformats.org/drawingml/2006/picture">
                      <pic:pic xmlns:pic="http://schemas.openxmlformats.org/drawingml/2006/picture">
                        <pic:nvPicPr>
                          <pic:cNvPr id="59" name="Text_Box_10_SpCnt_1"/>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0" name="Text_Box_5_SpCnt_3"/>
                  <wp:cNvGraphicFramePr/>
                  <a:graphic xmlns:a="http://schemas.openxmlformats.org/drawingml/2006/main">
                    <a:graphicData uri="http://schemas.openxmlformats.org/drawingml/2006/picture">
                      <pic:pic xmlns:pic="http://schemas.openxmlformats.org/drawingml/2006/picture">
                        <pic:nvPicPr>
                          <pic:cNvPr id="60" name="Text_Box_5_SpCnt_3"/>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1" name="Text_Box_14_SpCnt_1"/>
                  <wp:cNvGraphicFramePr/>
                  <a:graphic xmlns:a="http://schemas.openxmlformats.org/drawingml/2006/main">
                    <a:graphicData uri="http://schemas.openxmlformats.org/drawingml/2006/picture">
                      <pic:pic xmlns:pic="http://schemas.openxmlformats.org/drawingml/2006/picture">
                        <pic:nvPicPr>
                          <pic:cNvPr id="61" name="Text_Box_14_SpCnt_1"/>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2" name="Text_Box_12_SpCnt_2"/>
                  <wp:cNvGraphicFramePr/>
                  <a:graphic xmlns:a="http://schemas.openxmlformats.org/drawingml/2006/main">
                    <a:graphicData uri="http://schemas.openxmlformats.org/drawingml/2006/picture">
                      <pic:pic xmlns:pic="http://schemas.openxmlformats.org/drawingml/2006/picture">
                        <pic:nvPicPr>
                          <pic:cNvPr id="62" name="Text_Box_12_SpCnt_2"/>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3" name="Text_Box_10_SpCnt_2"/>
                  <wp:cNvGraphicFramePr/>
                  <a:graphic xmlns:a="http://schemas.openxmlformats.org/drawingml/2006/main">
                    <a:graphicData uri="http://schemas.openxmlformats.org/drawingml/2006/picture">
                      <pic:pic xmlns:pic="http://schemas.openxmlformats.org/drawingml/2006/picture">
                        <pic:nvPicPr>
                          <pic:cNvPr id="63" name="Text_Box_10_SpCnt_2"/>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4" name="Text_Box_9_SpCnt_3"/>
                  <wp:cNvGraphicFramePr/>
                  <a:graphic xmlns:a="http://schemas.openxmlformats.org/drawingml/2006/main">
                    <a:graphicData uri="http://schemas.openxmlformats.org/drawingml/2006/picture">
                      <pic:pic xmlns:pic="http://schemas.openxmlformats.org/drawingml/2006/picture">
                        <pic:nvPicPr>
                          <pic:cNvPr id="64" name="Text_Box_9_SpCnt_3"/>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5" name="Text_Box_14_SpCnt_2"/>
                  <wp:cNvGraphicFramePr/>
                  <a:graphic xmlns:a="http://schemas.openxmlformats.org/drawingml/2006/main">
                    <a:graphicData uri="http://schemas.openxmlformats.org/drawingml/2006/picture">
                      <pic:pic xmlns:pic="http://schemas.openxmlformats.org/drawingml/2006/picture">
                        <pic:nvPicPr>
                          <pic:cNvPr id="65" name="Text_Box_14_SpCnt_2"/>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6" name="Text_Box_7_SpCnt_2"/>
                  <wp:cNvGraphicFramePr/>
                  <a:graphic xmlns:a="http://schemas.openxmlformats.org/drawingml/2006/main">
                    <a:graphicData uri="http://schemas.openxmlformats.org/drawingml/2006/picture">
                      <pic:pic xmlns:pic="http://schemas.openxmlformats.org/drawingml/2006/picture">
                        <pic:nvPicPr>
                          <pic:cNvPr id="66" name="Text_Box_7_SpCnt_2"/>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7" name="Text_Box_12_SpCnt_3"/>
                  <wp:cNvGraphicFramePr/>
                  <a:graphic xmlns:a="http://schemas.openxmlformats.org/drawingml/2006/main">
                    <a:graphicData uri="http://schemas.openxmlformats.org/drawingml/2006/picture">
                      <pic:pic xmlns:pic="http://schemas.openxmlformats.org/drawingml/2006/picture">
                        <pic:nvPicPr>
                          <pic:cNvPr id="67" name="Text_Box_12_SpCnt_3"/>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8" name="Text_Box_7_SpCnt_3"/>
                  <wp:cNvGraphicFramePr/>
                  <a:graphic xmlns:a="http://schemas.openxmlformats.org/drawingml/2006/main">
                    <a:graphicData uri="http://schemas.openxmlformats.org/drawingml/2006/picture">
                      <pic:pic xmlns:pic="http://schemas.openxmlformats.org/drawingml/2006/picture">
                        <pic:nvPicPr>
                          <pic:cNvPr id="68" name="Text_Box_7_SpCnt_3"/>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9" name="Text_Box_10_SpCnt_3"/>
                  <wp:cNvGraphicFramePr/>
                  <a:graphic xmlns:a="http://schemas.openxmlformats.org/drawingml/2006/main">
                    <a:graphicData uri="http://schemas.openxmlformats.org/drawingml/2006/picture">
                      <pic:pic xmlns:pic="http://schemas.openxmlformats.org/drawingml/2006/picture">
                        <pic:nvPicPr>
                          <pic:cNvPr id="69" name="Text_Box_10_SpCnt_3"/>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r>
      <w:tr w14:paraId="2A0D6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jc w:val="center"/>
        </w:trPr>
        <w:tc>
          <w:tcPr>
            <w:tcW w:w="128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17B5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注：以上报价含可抵扣的增值税专用发票、运费、卸货以及安装调试相关服务费用。</w:t>
            </w:r>
          </w:p>
        </w:tc>
      </w:tr>
      <w:tr w14:paraId="209EC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0E5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D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c>
          <w:tcPr>
            <w:tcW w:w="1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20A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是否接受履约保证金（成交金额的10%）</w:t>
            </w:r>
          </w:p>
        </w:tc>
        <w:tc>
          <w:tcPr>
            <w:tcW w:w="4696" w:type="dxa"/>
            <w:gridSpan w:val="4"/>
            <w:tcBorders>
              <w:top w:val="single" w:color="000000" w:sz="4" w:space="0"/>
              <w:left w:val="nil"/>
              <w:bottom w:val="single" w:color="000000" w:sz="4" w:space="0"/>
              <w:right w:val="single" w:color="000000" w:sz="4" w:space="0"/>
            </w:tcBorders>
            <w:shd w:val="clear" w:color="auto" w:fill="auto"/>
            <w:vAlign w:val="center"/>
          </w:tcPr>
          <w:p w14:paraId="15DFBC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填“是/否”</w:t>
            </w:r>
          </w:p>
        </w:tc>
      </w:tr>
      <w:tr w14:paraId="0927A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8B5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6A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1</w:t>
            </w:r>
            <w:r>
              <w:rPr>
                <w:rFonts w:hint="eastAsia" w:ascii="宋体" w:hAnsi="宋体" w:eastAsia="宋体" w:cs="宋体"/>
                <w:i w:val="0"/>
                <w:iCs w:val="0"/>
                <w:color w:val="FF0000"/>
                <w:kern w:val="0"/>
                <w:sz w:val="24"/>
                <w:szCs w:val="24"/>
                <w:u w:val="none"/>
                <w:lang w:val="en-US" w:eastAsia="zh-CN" w:bidi="ar"/>
              </w:rPr>
              <w:t>年</w:t>
            </w:r>
          </w:p>
        </w:tc>
        <w:tc>
          <w:tcPr>
            <w:tcW w:w="1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451F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4696" w:type="dxa"/>
            <w:gridSpan w:val="4"/>
            <w:tcBorders>
              <w:top w:val="single" w:color="000000" w:sz="4" w:space="0"/>
              <w:left w:val="nil"/>
              <w:bottom w:val="single" w:color="000000" w:sz="4" w:space="0"/>
              <w:right w:val="single" w:color="000000" w:sz="4" w:space="0"/>
            </w:tcBorders>
            <w:shd w:val="clear" w:color="auto" w:fill="auto"/>
            <w:vAlign w:val="center"/>
          </w:tcPr>
          <w:p w14:paraId="76B55A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13%</w:t>
            </w:r>
          </w:p>
        </w:tc>
      </w:tr>
      <w:tr w14:paraId="54DE1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A202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ABE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5</w:t>
            </w:r>
            <w:r>
              <w:rPr>
                <w:rFonts w:hint="eastAsia" w:ascii="宋体" w:hAnsi="宋体" w:eastAsia="宋体" w:cs="宋体"/>
                <w:i w:val="0"/>
                <w:iCs w:val="0"/>
                <w:color w:val="FF0000"/>
                <w:kern w:val="0"/>
                <w:sz w:val="24"/>
                <w:szCs w:val="24"/>
                <w:u w:val="none"/>
                <w:lang w:val="en-US" w:eastAsia="zh-CN" w:bidi="ar"/>
              </w:rPr>
              <w:t>天</w:t>
            </w:r>
          </w:p>
        </w:tc>
        <w:tc>
          <w:tcPr>
            <w:tcW w:w="1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6C98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4696" w:type="dxa"/>
            <w:gridSpan w:val="4"/>
            <w:tcBorders>
              <w:top w:val="single" w:color="000000" w:sz="4" w:space="0"/>
              <w:left w:val="nil"/>
              <w:bottom w:val="single" w:color="000000" w:sz="4" w:space="0"/>
              <w:right w:val="single" w:color="000000" w:sz="4" w:space="0"/>
            </w:tcBorders>
            <w:shd w:val="clear" w:color="auto" w:fill="auto"/>
            <w:vAlign w:val="center"/>
          </w:tcPr>
          <w:p w14:paraId="00909C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合同签订后个7日内预付全款</w:t>
            </w:r>
          </w:p>
        </w:tc>
      </w:tr>
    </w:tbl>
    <w:p w14:paraId="0F8AA302">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736DD848">
      <w:pPr>
        <w:pStyle w:val="2"/>
        <w:numPr>
          <w:ilvl w:val="0"/>
          <w:numId w:val="0"/>
        </w:numPr>
        <w:bidi w:val="0"/>
        <w:ind w:leftChars="0"/>
        <w:jc w:val="center"/>
        <w:rPr>
          <w:rFonts w:hint="eastAsia" w:ascii="仿宋" w:hAnsi="仿宋" w:eastAsia="仿宋" w:cs="仿宋"/>
          <w:lang w:eastAsia="zh-CN"/>
        </w:rPr>
      </w:pPr>
      <w:r>
        <w:rPr>
          <w:rFonts w:hint="eastAsia" w:ascii="仿宋" w:hAnsi="仿宋" w:eastAsia="仿宋" w:cs="仿宋"/>
        </w:rPr>
        <w:t>合同格式及条款</w:t>
      </w:r>
    </w:p>
    <w:p w14:paraId="5DCC46EE">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0244F0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68DA160E">
      <w:pPr>
        <w:tabs>
          <w:tab w:val="left" w:pos="4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甲乙双方本着自愿、平等、诚实、信用的原则，依照《中华人民共和国民法典》及其它有关的法律法规下, 经协商订立合同条款如下：</w:t>
      </w:r>
    </w:p>
    <w:p w14:paraId="36E10A11">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7995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67B26D8">
            <w:pPr>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1525" w:type="dxa"/>
            <w:noWrap w:val="0"/>
            <w:vAlign w:val="center"/>
          </w:tcPr>
          <w:p w14:paraId="4F859A5B">
            <w:pPr>
              <w:pStyle w:val="17"/>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2A0FAF6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6015E3BA">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3F016BE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61B0C59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C7E905E">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792F09F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2C1CD82F">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77F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3A6D1E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8C318B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72CAC661">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061BDC90">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04751C2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19D2DB02">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E2CAB67">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0933049C">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60C0B83">
            <w:pPr>
              <w:pStyle w:val="17"/>
              <w:spacing w:line="340" w:lineRule="exact"/>
              <w:ind w:left="0" w:leftChars="0" w:firstLine="0" w:firstLineChars="0"/>
              <w:jc w:val="both"/>
              <w:rPr>
                <w:rFonts w:hint="eastAsia" w:ascii="仿宋" w:hAnsi="仿宋" w:eastAsia="仿宋" w:cs="仿宋"/>
                <w:color w:val="auto"/>
                <w:sz w:val="24"/>
                <w:szCs w:val="24"/>
              </w:rPr>
            </w:pPr>
          </w:p>
        </w:tc>
      </w:tr>
      <w:tr w14:paraId="2AF0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0E75CE76">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D7DB82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4E3AB6B">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8449117">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374562F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08D434D3">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8C047A5">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67AF166E">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3B8B6B9">
            <w:pPr>
              <w:pStyle w:val="17"/>
              <w:spacing w:line="340" w:lineRule="exact"/>
              <w:ind w:left="0" w:leftChars="0" w:firstLine="0" w:firstLineChars="0"/>
              <w:jc w:val="both"/>
              <w:rPr>
                <w:rFonts w:hint="eastAsia" w:ascii="仿宋" w:hAnsi="仿宋" w:eastAsia="仿宋" w:cs="仿宋"/>
                <w:color w:val="auto"/>
                <w:sz w:val="24"/>
                <w:szCs w:val="24"/>
              </w:rPr>
            </w:pPr>
          </w:p>
        </w:tc>
      </w:tr>
      <w:tr w14:paraId="3B6B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64B1B09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E728A32">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57E142D">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78832CF8">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4A5EF19E">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23694D25">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641483B">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5D26F8">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E6F90D6">
            <w:pPr>
              <w:pStyle w:val="17"/>
              <w:spacing w:line="340" w:lineRule="exact"/>
              <w:ind w:left="0" w:leftChars="0" w:firstLine="0" w:firstLineChars="0"/>
              <w:jc w:val="both"/>
              <w:rPr>
                <w:rFonts w:hint="eastAsia" w:ascii="仿宋" w:hAnsi="仿宋" w:eastAsia="仿宋" w:cs="仿宋"/>
                <w:color w:val="auto"/>
                <w:sz w:val="24"/>
                <w:szCs w:val="24"/>
              </w:rPr>
            </w:pPr>
          </w:p>
        </w:tc>
      </w:tr>
      <w:tr w14:paraId="494F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57506967">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F2A747D">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5576A0AA">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F448575">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8689BE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4FFA3F3E">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361E4440">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76A25C03">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E7B2805">
            <w:pPr>
              <w:pStyle w:val="17"/>
              <w:spacing w:line="340" w:lineRule="exact"/>
              <w:ind w:left="0" w:leftChars="0" w:firstLine="0" w:firstLineChars="0"/>
              <w:jc w:val="both"/>
              <w:rPr>
                <w:rFonts w:hint="eastAsia" w:ascii="仿宋" w:hAnsi="仿宋" w:eastAsia="仿宋" w:cs="仿宋"/>
                <w:color w:val="auto"/>
                <w:sz w:val="24"/>
                <w:szCs w:val="24"/>
              </w:rPr>
            </w:pPr>
          </w:p>
        </w:tc>
      </w:tr>
      <w:tr w14:paraId="5CE7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DC9E2D">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44F5A1D9">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EF187E9">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578D3A6">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BCC4F24">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39698E87">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68373D5D">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10582C79">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642C8EE">
            <w:pPr>
              <w:pStyle w:val="17"/>
              <w:spacing w:line="340" w:lineRule="exact"/>
              <w:ind w:left="0" w:leftChars="0" w:firstLine="0" w:firstLineChars="0"/>
              <w:jc w:val="both"/>
              <w:rPr>
                <w:rFonts w:hint="eastAsia" w:ascii="仿宋" w:hAnsi="仿宋" w:eastAsia="仿宋" w:cs="仿宋"/>
                <w:color w:val="auto"/>
                <w:sz w:val="24"/>
                <w:szCs w:val="24"/>
              </w:rPr>
            </w:pPr>
          </w:p>
        </w:tc>
      </w:tr>
      <w:tr w14:paraId="3C4B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BB829E">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034D59B">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DFDD83C">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6AE7C619">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4E7F10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6D46CC99">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2E0856B6">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70AE16">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A779C09">
            <w:pPr>
              <w:pStyle w:val="17"/>
              <w:spacing w:line="340" w:lineRule="exact"/>
              <w:ind w:left="0" w:leftChars="0" w:firstLine="0" w:firstLineChars="0"/>
              <w:jc w:val="both"/>
              <w:rPr>
                <w:rFonts w:hint="eastAsia" w:ascii="仿宋" w:hAnsi="仿宋" w:eastAsia="仿宋" w:cs="仿宋"/>
                <w:color w:val="auto"/>
                <w:sz w:val="24"/>
                <w:szCs w:val="24"/>
              </w:rPr>
            </w:pPr>
          </w:p>
        </w:tc>
      </w:tr>
      <w:tr w14:paraId="3225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466A3D74">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085D7CE">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1E2535AF">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495384BE">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6D8ABD1">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7FC21800">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0C45981">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3186B45F">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4EB0CBA0">
            <w:pPr>
              <w:pStyle w:val="17"/>
              <w:spacing w:line="340" w:lineRule="exact"/>
              <w:ind w:left="0" w:leftChars="0" w:firstLine="0" w:firstLineChars="0"/>
              <w:jc w:val="both"/>
              <w:rPr>
                <w:rFonts w:hint="eastAsia" w:ascii="仿宋" w:hAnsi="仿宋" w:eastAsia="仿宋" w:cs="仿宋"/>
                <w:color w:val="auto"/>
                <w:sz w:val="24"/>
                <w:szCs w:val="24"/>
              </w:rPr>
            </w:pPr>
          </w:p>
        </w:tc>
      </w:tr>
      <w:tr w14:paraId="1613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DA60C9E">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总价（</w:t>
            </w:r>
            <w:r>
              <w:rPr>
                <w:rFonts w:hint="eastAsia" w:ascii="仿宋" w:hAnsi="仿宋" w:eastAsia="仿宋" w:cs="仿宋"/>
                <w:color w:val="auto"/>
                <w:sz w:val="24"/>
                <w:szCs w:val="24"/>
                <w:lang w:val="en-US" w:eastAsia="zh-CN"/>
              </w:rPr>
              <w:t>含税</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其中不含税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7BC658F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其发票内容与合同清单的一致。 </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r>
        <w:rPr>
          <w:rFonts w:hint="eastAsia" w:ascii="仿宋" w:hAnsi="仿宋" w:eastAsia="仿宋" w:cs="仿宋"/>
          <w:color w:val="auto"/>
          <w:sz w:val="24"/>
          <w:szCs w:val="24"/>
          <w:lang w:val="en-US" w:eastAsia="zh-CN"/>
        </w:rPr>
        <w:t xml:space="preserve">  </w:t>
      </w:r>
    </w:p>
    <w:p w14:paraId="7776C62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9E15F42">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1、付款条件:合同签订后个7日内预付全款</w:t>
      </w:r>
      <w:r>
        <w:rPr>
          <w:rFonts w:hint="eastAsia" w:ascii="仿宋" w:hAnsi="仿宋" w:eastAsia="仿宋" w:cs="仿宋"/>
          <w:color w:val="auto"/>
          <w:sz w:val="24"/>
          <w:szCs w:val="24"/>
          <w:highlight w:val="none"/>
          <w:lang w:val="en-US" w:eastAsia="zh-CN"/>
        </w:rPr>
        <w:t>。注：付款时</w:t>
      </w:r>
      <w:bookmarkStart w:id="0" w:name="_GoBack"/>
      <w:bookmarkEnd w:id="0"/>
      <w:r>
        <w:rPr>
          <w:rFonts w:hint="eastAsia" w:ascii="仿宋" w:hAnsi="仿宋" w:eastAsia="仿宋" w:cs="仿宋"/>
          <w:color w:val="auto"/>
          <w:sz w:val="24"/>
          <w:szCs w:val="24"/>
          <w:highlight w:val="none"/>
          <w:lang w:val="en-US" w:eastAsia="zh-CN"/>
        </w:rPr>
        <w:t>供应商须提供正规发票（因发票问题而导致无法正常付款的，责任由供应商自己承担）。</w:t>
      </w:r>
    </w:p>
    <w:p w14:paraId="50D36E2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0DD93EB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AB5850F">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15289D9">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D1461EB">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711C58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65E9643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213B0009">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74337EA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27AF702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301387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本合同供货时间和地点在</w:t>
      </w:r>
      <w:r>
        <w:rPr>
          <w:rFonts w:hint="eastAsia" w:ascii="仿宋" w:hAnsi="仿宋" w:eastAsia="仿宋" w:cs="仿宋"/>
          <w:color w:val="auto"/>
          <w:sz w:val="24"/>
          <w:szCs w:val="24"/>
          <w:lang w:val="en-US" w:eastAsia="zh-CN"/>
        </w:rPr>
        <w:t>询价</w:t>
      </w:r>
      <w:r>
        <w:rPr>
          <w:rFonts w:hint="eastAsia" w:ascii="仿宋" w:hAnsi="仿宋" w:eastAsia="仿宋" w:cs="仿宋"/>
          <w:color w:val="auto"/>
          <w:sz w:val="24"/>
          <w:szCs w:val="24"/>
        </w:rPr>
        <w:t>文件中有明确规定</w:t>
      </w:r>
      <w:r>
        <w:rPr>
          <w:rFonts w:hint="eastAsia" w:ascii="仿宋" w:hAnsi="仿宋" w:eastAsia="仿宋" w:cs="仿宋"/>
          <w:color w:val="auto"/>
          <w:sz w:val="24"/>
          <w:szCs w:val="24"/>
          <w:lang w:val="en-US" w:eastAsia="zh-CN"/>
        </w:rPr>
        <w:t>。</w:t>
      </w:r>
    </w:p>
    <w:p w14:paraId="60B2DF0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420E4A5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收到甲方的发货通知后，乙方发货，本合同生效。乙方交付产品时，应确保提供前述产品为全新正品，要求乙方提供货物直发现场的签收确认单，必须有本条款第一项甲方指定人员签字的收货清单为依据，否则视为乙方未完成交货。（附件为乙方盖章送货单）</w:t>
      </w:r>
    </w:p>
    <w:p w14:paraId="0514182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6A809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3C4937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3D56A8D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6F98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3713184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60A0F09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p>
    <w:p w14:paraId="7D40C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24601ED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5、甲方验收依据合同清单或双方签署的技术协议书执行。</w:t>
      </w:r>
    </w:p>
    <w:p w14:paraId="0EC3EB9C">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747AD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1、乙方所交付货物的售后服务标准依据原厂商相关规定执行。</w:t>
      </w:r>
    </w:p>
    <w:p w14:paraId="0EA06F3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 4 小时内响应并进行电话说明，同时对问题产品在当日进行退货、更换、维修手续，保证 3 日内恢复正常使用功能，并承担由此产生所有的费用。</w:t>
      </w:r>
    </w:p>
    <w:p w14:paraId="746F824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p>
    <w:p w14:paraId="263A56D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4、质量要求：乙方提供产品符合国家质量标准和需方生产的要求（环保和安全性能应符合国家有关要求），需注明以下技术标准具体条款，国家军用标准（）、国家标准（）、行业标准（）、企业标准（） 并提供相关资料。</w:t>
      </w:r>
    </w:p>
    <w:p w14:paraId="3F2CAD3B">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2F33ACF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1、甲方确认交付完成后，货物所有权归甲方所有。</w:t>
      </w:r>
    </w:p>
    <w:p w14:paraId="1E98EC2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p>
    <w:p w14:paraId="14490C3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755111B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无法按时交货，应依照合同总额按日千分之[四]向甲方支付违约金。如乙方迟延交货超过[ 5 ]日，甲方有权立即解除合同，乙方应当退回甲方支付的全部费用，并向甲方支付合同总额20%的违约金；甲方也可选择继续履行合同，乙方应当向甲方支付合同金额20% 的违约金，甲方有权自应付货款中扣除相应金额。</w:t>
      </w:r>
    </w:p>
    <w:p w14:paraId="444E79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2、乙方所提供货品因质量及售后等问题造成甲方项目暂停或停滞，乙方需对因此给甲方造成的全部损失承担赔偿责任，并向甲方支付合同金额20%的违约金。</w:t>
      </w:r>
    </w:p>
    <w:p w14:paraId="0EEED08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3、乙方若有任何违反本合同的行为，甲方均有权立即对乙方暂停付款并无需通知乙方，直至相关问题经确认已妥善解决为止。甲方也可根据实际情况 ，直接从应付乙方款项或乙方支付的履约质保金中扣除相关款项，以解决乙方违约行为所产生的问题，乙方对此已知且无任何异议。</w:t>
      </w:r>
    </w:p>
    <w:p w14:paraId="16226F8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3C95343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对甲方主张合同欠款或进行索赔所产生的相关费用（包括但不限于律师费、仲裁、诉讼、调解费用等），由乙方按与其相关的索赔比例承担；乙方不配合或拒绝承担相关费用的，视为乙方放弃索赔权利。</w:t>
      </w:r>
    </w:p>
    <w:p w14:paraId="73CE195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6F4FBF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4CFEC88F">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20D1D77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539E617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F83F9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如双方在合同履行发生争议，应友好协商解决。协商不成，在本合同签订地人民法院起诉。</w:t>
      </w:r>
    </w:p>
    <w:p w14:paraId="48996447">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D5D93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E3EB1F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7E7E731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76728DB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10D3606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D119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。乙方指派的授权代表人，代表乙方发出指令，确认合同履行中的相关事宜，签收往来函件，变更、调整合同条款，解除、终止本合同及其他相关事宜。</w:t>
      </w:r>
    </w:p>
    <w:p w14:paraId="26F42BD9">
      <w:pPr>
        <w:pStyle w:val="17"/>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35E280E7">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 xml:space="preserve">   地址</w:t>
      </w:r>
      <w:r>
        <w:rPr>
          <w:rFonts w:hint="eastAsia" w:ascii="仿宋" w:hAnsi="仿宋" w:eastAsia="仿宋" w:cs="仿宋"/>
          <w:color w:val="auto"/>
          <w:sz w:val="24"/>
          <w:szCs w:val="24"/>
        </w:rPr>
        <w:t>:</w:t>
      </w:r>
    </w:p>
    <w:p w14:paraId="536F73B3">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4C9AFB32">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7B750CC2">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签定日期:                          签定日期:</w:t>
      </w:r>
    </w:p>
    <w:p w14:paraId="69D2E5BD"/>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1F91FD4"/>
    <w:rsid w:val="020D7BB0"/>
    <w:rsid w:val="023D1BA8"/>
    <w:rsid w:val="024B07E7"/>
    <w:rsid w:val="02635986"/>
    <w:rsid w:val="02BD280C"/>
    <w:rsid w:val="02BD7BE0"/>
    <w:rsid w:val="02CD5A6F"/>
    <w:rsid w:val="03626CD0"/>
    <w:rsid w:val="03BB36BB"/>
    <w:rsid w:val="04741F2A"/>
    <w:rsid w:val="058E7D29"/>
    <w:rsid w:val="06E65ABA"/>
    <w:rsid w:val="07CC21FA"/>
    <w:rsid w:val="08193505"/>
    <w:rsid w:val="082F30B8"/>
    <w:rsid w:val="0886108C"/>
    <w:rsid w:val="097C031F"/>
    <w:rsid w:val="09DB488A"/>
    <w:rsid w:val="09FE7C7D"/>
    <w:rsid w:val="0A443009"/>
    <w:rsid w:val="0A831766"/>
    <w:rsid w:val="0A894345"/>
    <w:rsid w:val="0AB97D0F"/>
    <w:rsid w:val="0BC2638F"/>
    <w:rsid w:val="0BDC6B78"/>
    <w:rsid w:val="0C882A07"/>
    <w:rsid w:val="0CD142BE"/>
    <w:rsid w:val="0D681C76"/>
    <w:rsid w:val="0D765D1D"/>
    <w:rsid w:val="0D78696A"/>
    <w:rsid w:val="0DBF30C4"/>
    <w:rsid w:val="0DD96789"/>
    <w:rsid w:val="0F0F7410"/>
    <w:rsid w:val="100159F1"/>
    <w:rsid w:val="10275305"/>
    <w:rsid w:val="10941E2C"/>
    <w:rsid w:val="1106690F"/>
    <w:rsid w:val="11471B69"/>
    <w:rsid w:val="115C3F6A"/>
    <w:rsid w:val="11CC2447"/>
    <w:rsid w:val="11F315DF"/>
    <w:rsid w:val="12BB3C49"/>
    <w:rsid w:val="133B07D3"/>
    <w:rsid w:val="138B678C"/>
    <w:rsid w:val="13A43BC7"/>
    <w:rsid w:val="144B0B25"/>
    <w:rsid w:val="148402F0"/>
    <w:rsid w:val="14F94AB5"/>
    <w:rsid w:val="1516314A"/>
    <w:rsid w:val="157C124F"/>
    <w:rsid w:val="15A123AF"/>
    <w:rsid w:val="15B405D8"/>
    <w:rsid w:val="16B37629"/>
    <w:rsid w:val="173B2189"/>
    <w:rsid w:val="176C0965"/>
    <w:rsid w:val="17CE6EF3"/>
    <w:rsid w:val="185D2018"/>
    <w:rsid w:val="1870435E"/>
    <w:rsid w:val="18B65219"/>
    <w:rsid w:val="193251CA"/>
    <w:rsid w:val="1959078F"/>
    <w:rsid w:val="19850B90"/>
    <w:rsid w:val="19C8233B"/>
    <w:rsid w:val="1A48720E"/>
    <w:rsid w:val="1B811C42"/>
    <w:rsid w:val="1B96686D"/>
    <w:rsid w:val="1BB00C3B"/>
    <w:rsid w:val="1C1414B5"/>
    <w:rsid w:val="1C44694B"/>
    <w:rsid w:val="1CB642A6"/>
    <w:rsid w:val="1CBE542C"/>
    <w:rsid w:val="1CCD669D"/>
    <w:rsid w:val="1E055896"/>
    <w:rsid w:val="1E434544"/>
    <w:rsid w:val="1E9E7647"/>
    <w:rsid w:val="1F444EB4"/>
    <w:rsid w:val="1F741D8C"/>
    <w:rsid w:val="1FC0011B"/>
    <w:rsid w:val="1FF000D2"/>
    <w:rsid w:val="1FF040AD"/>
    <w:rsid w:val="200C3464"/>
    <w:rsid w:val="20566C4C"/>
    <w:rsid w:val="23B60935"/>
    <w:rsid w:val="245503E6"/>
    <w:rsid w:val="24874408"/>
    <w:rsid w:val="24883CAD"/>
    <w:rsid w:val="24BF2D95"/>
    <w:rsid w:val="259D1AFE"/>
    <w:rsid w:val="25BA7F75"/>
    <w:rsid w:val="25DE44B5"/>
    <w:rsid w:val="264801BD"/>
    <w:rsid w:val="267537D8"/>
    <w:rsid w:val="26A67AF4"/>
    <w:rsid w:val="26D0702D"/>
    <w:rsid w:val="27933CD9"/>
    <w:rsid w:val="27B75BEB"/>
    <w:rsid w:val="28126BBF"/>
    <w:rsid w:val="281D45C6"/>
    <w:rsid w:val="285F2089"/>
    <w:rsid w:val="292E08DE"/>
    <w:rsid w:val="29CA4207"/>
    <w:rsid w:val="29E622D3"/>
    <w:rsid w:val="2A225DF1"/>
    <w:rsid w:val="2A573CED"/>
    <w:rsid w:val="2B394C5B"/>
    <w:rsid w:val="2B6A410E"/>
    <w:rsid w:val="2B9E5DD1"/>
    <w:rsid w:val="2BBD750D"/>
    <w:rsid w:val="2C761843"/>
    <w:rsid w:val="2D4E2C33"/>
    <w:rsid w:val="2DC647A7"/>
    <w:rsid w:val="2E1B2848"/>
    <w:rsid w:val="2E1C17E4"/>
    <w:rsid w:val="2E342253"/>
    <w:rsid w:val="2EA5694F"/>
    <w:rsid w:val="2FA05CF7"/>
    <w:rsid w:val="300D6BCC"/>
    <w:rsid w:val="30246158"/>
    <w:rsid w:val="30A001AC"/>
    <w:rsid w:val="31140310"/>
    <w:rsid w:val="313703D4"/>
    <w:rsid w:val="318F1FBE"/>
    <w:rsid w:val="33230EA1"/>
    <w:rsid w:val="337A506E"/>
    <w:rsid w:val="33836304"/>
    <w:rsid w:val="339B7C29"/>
    <w:rsid w:val="345319C9"/>
    <w:rsid w:val="34806859"/>
    <w:rsid w:val="355F7307"/>
    <w:rsid w:val="362D741D"/>
    <w:rsid w:val="37A7439E"/>
    <w:rsid w:val="37CA2BC5"/>
    <w:rsid w:val="37F03342"/>
    <w:rsid w:val="381B27FE"/>
    <w:rsid w:val="38544E55"/>
    <w:rsid w:val="38CA5FD2"/>
    <w:rsid w:val="39064FC8"/>
    <w:rsid w:val="39963E4D"/>
    <w:rsid w:val="3A2C48CD"/>
    <w:rsid w:val="3A491A2A"/>
    <w:rsid w:val="3AAB598F"/>
    <w:rsid w:val="3B0F7CBC"/>
    <w:rsid w:val="3B275F4B"/>
    <w:rsid w:val="3B36794F"/>
    <w:rsid w:val="3D2363DE"/>
    <w:rsid w:val="3DA64A40"/>
    <w:rsid w:val="3E015FF2"/>
    <w:rsid w:val="3E4F32EC"/>
    <w:rsid w:val="3E5157CB"/>
    <w:rsid w:val="3E6D1EE0"/>
    <w:rsid w:val="3ECF707E"/>
    <w:rsid w:val="40130CAF"/>
    <w:rsid w:val="40490B34"/>
    <w:rsid w:val="420E65EA"/>
    <w:rsid w:val="421050D4"/>
    <w:rsid w:val="42A9416B"/>
    <w:rsid w:val="42BF1B92"/>
    <w:rsid w:val="4300637D"/>
    <w:rsid w:val="435E2995"/>
    <w:rsid w:val="4380190E"/>
    <w:rsid w:val="43966372"/>
    <w:rsid w:val="44EF43A5"/>
    <w:rsid w:val="46AE2EAA"/>
    <w:rsid w:val="46C358A8"/>
    <w:rsid w:val="46CC73B9"/>
    <w:rsid w:val="477060B2"/>
    <w:rsid w:val="47D32116"/>
    <w:rsid w:val="48116822"/>
    <w:rsid w:val="481E471E"/>
    <w:rsid w:val="4831522D"/>
    <w:rsid w:val="48832749"/>
    <w:rsid w:val="48E67528"/>
    <w:rsid w:val="493C6A78"/>
    <w:rsid w:val="49AB2DE5"/>
    <w:rsid w:val="4A0D21C2"/>
    <w:rsid w:val="4A0E06F8"/>
    <w:rsid w:val="4A995804"/>
    <w:rsid w:val="4B1A7BD1"/>
    <w:rsid w:val="4B2422D7"/>
    <w:rsid w:val="4BB038DA"/>
    <w:rsid w:val="4C73767A"/>
    <w:rsid w:val="4D030046"/>
    <w:rsid w:val="4D871781"/>
    <w:rsid w:val="4E802F1D"/>
    <w:rsid w:val="4EF042FA"/>
    <w:rsid w:val="4F1C1B57"/>
    <w:rsid w:val="4FAF448B"/>
    <w:rsid w:val="50417986"/>
    <w:rsid w:val="50C10961"/>
    <w:rsid w:val="50F73FA0"/>
    <w:rsid w:val="51544BCC"/>
    <w:rsid w:val="515E18DF"/>
    <w:rsid w:val="51765D9A"/>
    <w:rsid w:val="517D0941"/>
    <w:rsid w:val="51CE2237"/>
    <w:rsid w:val="521C7398"/>
    <w:rsid w:val="52446C35"/>
    <w:rsid w:val="527E16D3"/>
    <w:rsid w:val="528B2778"/>
    <w:rsid w:val="52C14E18"/>
    <w:rsid w:val="5316709E"/>
    <w:rsid w:val="534B7B17"/>
    <w:rsid w:val="540E2DBF"/>
    <w:rsid w:val="54B57C0A"/>
    <w:rsid w:val="55DF4A13"/>
    <w:rsid w:val="55FF6B96"/>
    <w:rsid w:val="56E07198"/>
    <w:rsid w:val="57221F02"/>
    <w:rsid w:val="57960F83"/>
    <w:rsid w:val="57DB3B40"/>
    <w:rsid w:val="58733762"/>
    <w:rsid w:val="58A15BF6"/>
    <w:rsid w:val="58DA37D1"/>
    <w:rsid w:val="590772D6"/>
    <w:rsid w:val="597E69B0"/>
    <w:rsid w:val="59D75C73"/>
    <w:rsid w:val="5AA4447D"/>
    <w:rsid w:val="5B4377F2"/>
    <w:rsid w:val="5B9938B6"/>
    <w:rsid w:val="5BBF6D32"/>
    <w:rsid w:val="5C02364F"/>
    <w:rsid w:val="5C4A6C71"/>
    <w:rsid w:val="5CA61E20"/>
    <w:rsid w:val="5CB94064"/>
    <w:rsid w:val="5D9E05A7"/>
    <w:rsid w:val="5DF96E76"/>
    <w:rsid w:val="5DFE3DF5"/>
    <w:rsid w:val="5E0F059C"/>
    <w:rsid w:val="5E385608"/>
    <w:rsid w:val="5EB9237C"/>
    <w:rsid w:val="5F0458F0"/>
    <w:rsid w:val="5FE226DD"/>
    <w:rsid w:val="5FEE497A"/>
    <w:rsid w:val="60C33852"/>
    <w:rsid w:val="61547E11"/>
    <w:rsid w:val="61852A60"/>
    <w:rsid w:val="62567581"/>
    <w:rsid w:val="631F4682"/>
    <w:rsid w:val="63D4721D"/>
    <w:rsid w:val="640673E3"/>
    <w:rsid w:val="640F17B5"/>
    <w:rsid w:val="64467711"/>
    <w:rsid w:val="64722EF6"/>
    <w:rsid w:val="64E752C4"/>
    <w:rsid w:val="656C5B7B"/>
    <w:rsid w:val="65DA0DD4"/>
    <w:rsid w:val="65F729C7"/>
    <w:rsid w:val="666F593F"/>
    <w:rsid w:val="66934D57"/>
    <w:rsid w:val="66A27154"/>
    <w:rsid w:val="66A80E51"/>
    <w:rsid w:val="677551D7"/>
    <w:rsid w:val="67E31F8B"/>
    <w:rsid w:val="68577F92"/>
    <w:rsid w:val="6893661A"/>
    <w:rsid w:val="68F127D1"/>
    <w:rsid w:val="698D373B"/>
    <w:rsid w:val="69FD1FFD"/>
    <w:rsid w:val="6A2B5BCA"/>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862203"/>
    <w:rsid w:val="70A15D8A"/>
    <w:rsid w:val="71270FB3"/>
    <w:rsid w:val="71E07B02"/>
    <w:rsid w:val="71EC42E8"/>
    <w:rsid w:val="71F66174"/>
    <w:rsid w:val="7239784B"/>
    <w:rsid w:val="72C34258"/>
    <w:rsid w:val="73CE218C"/>
    <w:rsid w:val="74396181"/>
    <w:rsid w:val="74AA472D"/>
    <w:rsid w:val="74FB2A94"/>
    <w:rsid w:val="75B72E5F"/>
    <w:rsid w:val="768165E1"/>
    <w:rsid w:val="776C3E86"/>
    <w:rsid w:val="79DA1D09"/>
    <w:rsid w:val="7A182199"/>
    <w:rsid w:val="7A31327F"/>
    <w:rsid w:val="7A644061"/>
    <w:rsid w:val="7AE1770B"/>
    <w:rsid w:val="7B114A31"/>
    <w:rsid w:val="7C5231FC"/>
    <w:rsid w:val="7CCE7826"/>
    <w:rsid w:val="7D0F483D"/>
    <w:rsid w:val="7D560845"/>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4703</Words>
  <Characters>4947</Characters>
  <Lines>0</Lines>
  <Paragraphs>0</Paragraphs>
  <TotalTime>1</TotalTime>
  <ScaleCrop>false</ScaleCrop>
  <LinksUpToDate>false</LinksUpToDate>
  <CharactersWithSpaces>5669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2025-09-25T02:16:00Z</cp:lastPrinted>
  <dcterms:modified xsi:type="dcterms:W3CDTF">2026-08-12T01:32:26Z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81EC64A1FF8C425A935A7D0162A940B7_13</vt:lpwstr>
  </property>
  <property fmtid="{D5CDD505-2E9C-101B-9397-08002B2CF9AE}" pid="4" name="KSOTemplateDocerSaveRecord">
    <vt:lpwstr>eyJoZGlkIjoiODQxOGI3YmU3NTI5MzUwZjkwOWVjODQ3NGEwZTRmNzciLCJ1c2VySWQiOiI2OTk3Mjg4NzkifQ==</vt:lpwstr>
  </property>
</Properties>
</file>