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升降屏显示器</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616A341A">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121C920">
      <w:pPr>
        <w:pStyle w:val="15"/>
        <w:rPr>
          <w:rFonts w:hint="eastAsia"/>
        </w:rPr>
        <w:sectPr>
          <w:pgSz w:w="11906" w:h="16838"/>
          <w:pgMar w:top="1440" w:right="1800" w:bottom="1440" w:left="1800" w:header="851" w:footer="992" w:gutter="0"/>
          <w:cols w:space="425" w:num="1"/>
          <w:docGrid w:type="lines" w:linePitch="312" w:charSpace="0"/>
        </w:sectPr>
      </w:pPr>
    </w:p>
    <w:p w14:paraId="00C476FE">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76417C70">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2B0E87B9">
      <w:pPr>
        <w:ind w:left="0" w:leftChars="0" w:firstLine="0" w:firstLineChars="0"/>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p w14:paraId="437544A7">
      <w:pPr>
        <w:ind w:left="0" w:leftChars="0" w:firstLine="0" w:firstLineChars="0"/>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2.5现场勘察确认函</w:t>
      </w:r>
    </w:p>
    <w:p w14:paraId="74EB3B1E">
      <w:pPr>
        <w:rPr>
          <w:rFonts w:hint="eastAsia" w:ascii="仿宋" w:hAnsi="仿宋" w:eastAsia="仿宋" w:cs="仿宋"/>
          <w:b/>
          <w:bCs/>
          <w:kern w:val="2"/>
          <w:sz w:val="28"/>
          <w:szCs w:val="28"/>
          <w:lang w:val="en-US" w:eastAsia="zh-CN" w:bidi="ar-SA"/>
        </w:rPr>
      </w:pPr>
    </w:p>
    <w:p w14:paraId="7EC13A60">
      <w:pPr>
        <w:rPr>
          <w:rFonts w:hint="eastAsia" w:ascii="仿宋" w:hAnsi="仿宋" w:eastAsia="仿宋" w:cs="仿宋"/>
          <w:b/>
          <w:bCs/>
          <w:kern w:val="2"/>
          <w:sz w:val="28"/>
          <w:szCs w:val="28"/>
          <w:lang w:val="en-US" w:eastAsia="zh-CN" w:bidi="ar-SA"/>
        </w:rPr>
      </w:pPr>
    </w:p>
    <w:p w14:paraId="737F38CD">
      <w:pPr>
        <w:rPr>
          <w:rFonts w:hint="eastAsia" w:ascii="仿宋" w:hAnsi="仿宋" w:eastAsia="仿宋" w:cs="仿宋"/>
          <w:b/>
          <w:bCs/>
          <w:kern w:val="2"/>
          <w:sz w:val="28"/>
          <w:szCs w:val="28"/>
          <w:lang w:val="en-US" w:eastAsia="zh-CN" w:bidi="ar-SA"/>
        </w:rPr>
      </w:pPr>
    </w:p>
    <w:p w14:paraId="333316AC">
      <w:pPr>
        <w:rPr>
          <w:rFonts w:hint="default" w:ascii="仿宋" w:hAnsi="仿宋" w:eastAsia="仿宋" w:cs="仿宋"/>
          <w:b/>
          <w:bCs/>
          <w:kern w:val="2"/>
          <w:sz w:val="32"/>
          <w:szCs w:val="32"/>
          <w:lang w:val="en-US" w:eastAsia="zh-CN" w:bidi="ar-SA"/>
        </w:rPr>
      </w:pPr>
      <w:r>
        <w:rPr>
          <w:rFonts w:hint="default" w:ascii="仿宋" w:hAnsi="仿宋" w:eastAsia="仿宋" w:cs="仿宋"/>
          <w:b/>
          <w:bCs/>
          <w:kern w:val="2"/>
          <w:sz w:val="32"/>
          <w:szCs w:val="32"/>
          <w:lang w:val="en-US" w:eastAsia="zh-CN" w:bidi="ar-SA"/>
        </w:rPr>
        <w:t>项目名称：</w:t>
      </w:r>
      <w:r>
        <w:rPr>
          <w:rFonts w:hint="eastAsia" w:ascii="仿宋" w:hAnsi="仿宋" w:eastAsia="仿宋" w:cs="仿宋"/>
          <w:b/>
          <w:bCs/>
          <w:kern w:val="2"/>
          <w:sz w:val="32"/>
          <w:szCs w:val="32"/>
          <w:lang w:val="en-US" w:eastAsia="zh-CN" w:bidi="ar-SA"/>
        </w:rPr>
        <w:t>升降屏显示器采购</w:t>
      </w:r>
    </w:p>
    <w:p w14:paraId="1ED3E31C">
      <w:pPr>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项目编号：20260511-05</w:t>
      </w:r>
    </w:p>
    <w:p w14:paraId="52CB9CFA">
      <w:pPr>
        <w:rPr>
          <w:rFonts w:hint="eastAsia" w:ascii="仿宋" w:hAnsi="仿宋" w:eastAsia="仿宋" w:cs="仿宋"/>
          <w:b/>
          <w:bCs/>
          <w:kern w:val="2"/>
          <w:sz w:val="32"/>
          <w:szCs w:val="32"/>
          <w:u w:val="single"/>
          <w:lang w:val="en-US" w:eastAsia="zh-CN" w:bidi="ar-SA"/>
        </w:rPr>
      </w:pPr>
      <w:r>
        <w:rPr>
          <w:rFonts w:hint="eastAsia" w:ascii="仿宋" w:hAnsi="仿宋" w:eastAsia="仿宋" w:cs="仿宋"/>
          <w:b/>
          <w:bCs/>
          <w:kern w:val="2"/>
          <w:sz w:val="32"/>
          <w:szCs w:val="32"/>
          <w:lang w:val="en-US" w:eastAsia="zh-CN" w:bidi="ar-SA"/>
        </w:rPr>
        <w:t>投标人名称：</w:t>
      </w:r>
      <w:r>
        <w:rPr>
          <w:rFonts w:hint="eastAsia" w:ascii="仿宋" w:hAnsi="仿宋" w:eastAsia="仿宋" w:cs="仿宋"/>
          <w:b/>
          <w:bCs/>
          <w:kern w:val="2"/>
          <w:sz w:val="32"/>
          <w:szCs w:val="32"/>
          <w:u w:val="single"/>
          <w:lang w:val="en-US" w:eastAsia="zh-CN" w:bidi="ar-SA"/>
        </w:rPr>
        <w:t xml:space="preserve">                 </w:t>
      </w:r>
    </w:p>
    <w:p w14:paraId="774E29CA">
      <w:pPr>
        <w:rPr>
          <w:rFonts w:hint="default" w:ascii="仿宋" w:hAnsi="仿宋" w:eastAsia="仿宋" w:cs="仿宋"/>
          <w:b/>
          <w:bCs/>
          <w:kern w:val="2"/>
          <w:sz w:val="32"/>
          <w:szCs w:val="32"/>
          <w:u w:val="single"/>
          <w:lang w:val="en-US" w:eastAsia="zh-CN" w:bidi="ar-SA"/>
        </w:rPr>
      </w:pPr>
      <w:r>
        <w:rPr>
          <w:rFonts w:hint="eastAsia" w:ascii="仿宋" w:hAnsi="仿宋" w:eastAsia="仿宋" w:cs="仿宋"/>
          <w:b/>
          <w:bCs/>
          <w:kern w:val="2"/>
          <w:sz w:val="32"/>
          <w:szCs w:val="32"/>
          <w:lang w:val="en-US" w:eastAsia="zh-CN" w:bidi="ar-SA"/>
        </w:rPr>
        <w:t>投标人联系人：</w:t>
      </w:r>
      <w:r>
        <w:rPr>
          <w:rFonts w:hint="eastAsia" w:ascii="仿宋" w:hAnsi="仿宋" w:eastAsia="仿宋" w:cs="仿宋"/>
          <w:b/>
          <w:bCs/>
          <w:kern w:val="2"/>
          <w:sz w:val="32"/>
          <w:szCs w:val="32"/>
          <w:u w:val="single"/>
          <w:lang w:val="en-US" w:eastAsia="zh-CN" w:bidi="ar-SA"/>
        </w:rPr>
        <w:t xml:space="preserve">               </w:t>
      </w:r>
    </w:p>
    <w:p w14:paraId="064840D2">
      <w:pPr>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联系人电话：</w:t>
      </w:r>
      <w:r>
        <w:rPr>
          <w:rFonts w:hint="eastAsia" w:ascii="仿宋" w:hAnsi="仿宋" w:eastAsia="仿宋" w:cs="仿宋"/>
          <w:b/>
          <w:bCs/>
          <w:kern w:val="2"/>
          <w:sz w:val="32"/>
          <w:szCs w:val="32"/>
          <w:u w:val="single"/>
          <w:lang w:val="en-US" w:eastAsia="zh-CN" w:bidi="ar-SA"/>
        </w:rPr>
        <w:t xml:space="preserve">                  </w:t>
      </w:r>
      <w:r>
        <w:rPr>
          <w:rFonts w:hint="eastAsia" w:ascii="仿宋" w:hAnsi="仿宋" w:eastAsia="仿宋" w:cs="仿宋"/>
          <w:b/>
          <w:bCs/>
          <w:kern w:val="2"/>
          <w:sz w:val="32"/>
          <w:szCs w:val="32"/>
          <w:lang w:val="en-US" w:eastAsia="zh-CN" w:bidi="ar-SA"/>
        </w:rPr>
        <w:t xml:space="preserve">                   </w:t>
      </w:r>
    </w:p>
    <w:p w14:paraId="6DBA2B08">
      <w:pPr>
        <w:ind w:left="0" w:leftChars="0" w:firstLine="0" w:firstLineChars="0"/>
        <w:rPr>
          <w:rFonts w:hint="eastAsia" w:ascii="仿宋" w:hAnsi="仿宋" w:eastAsia="仿宋" w:cs="仿宋"/>
          <w:b/>
          <w:bCs/>
          <w:kern w:val="2"/>
          <w:sz w:val="32"/>
          <w:szCs w:val="32"/>
          <w:lang w:val="en-US" w:eastAsia="zh-CN" w:bidi="ar-SA"/>
        </w:rPr>
      </w:pPr>
    </w:p>
    <w:p w14:paraId="5B9E6C9D">
      <w:pPr>
        <w:ind w:left="0" w:leftChars="0" w:firstLine="0" w:firstLineChars="0"/>
        <w:rPr>
          <w:rFonts w:hint="eastAsia" w:ascii="仿宋" w:hAnsi="仿宋" w:eastAsia="仿宋" w:cs="仿宋"/>
          <w:b/>
          <w:bCs/>
          <w:kern w:val="2"/>
          <w:sz w:val="32"/>
          <w:szCs w:val="32"/>
          <w:lang w:val="en-US" w:eastAsia="zh-CN" w:bidi="ar-SA"/>
        </w:rPr>
      </w:pPr>
    </w:p>
    <w:p w14:paraId="52AB28BA">
      <w:pPr>
        <w:jc w:val="cente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采购方项目负责人签字：</w:t>
      </w:r>
    </w:p>
    <w:p w14:paraId="7D37DBC7">
      <w:pPr>
        <w:ind w:left="0" w:leftChars="0" w:firstLine="0" w:firstLineChars="0"/>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tbl>
      <w:tblPr>
        <w:tblStyle w:val="24"/>
        <w:tblW w:w="128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0"/>
        <w:gridCol w:w="1680"/>
        <w:gridCol w:w="4080"/>
        <w:gridCol w:w="195"/>
        <w:gridCol w:w="870"/>
        <w:gridCol w:w="742"/>
        <w:gridCol w:w="1392"/>
        <w:gridCol w:w="986"/>
        <w:gridCol w:w="1050"/>
        <w:gridCol w:w="1155"/>
      </w:tblGrid>
      <w:tr w14:paraId="2E1C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2810" w:type="dxa"/>
            <w:gridSpan w:val="10"/>
            <w:tcBorders>
              <w:top w:val="nil"/>
              <w:left w:val="nil"/>
              <w:bottom w:val="nil"/>
              <w:right w:val="nil"/>
            </w:tcBorders>
            <w:shd w:val="clear" w:color="auto" w:fill="auto"/>
            <w:vAlign w:val="center"/>
          </w:tcPr>
          <w:p w14:paraId="75BDFD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56FA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ECD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B03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7A2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4583" w:type="dxa"/>
            <w:gridSpan w:val="4"/>
            <w:tcBorders>
              <w:top w:val="single" w:color="000000" w:sz="4" w:space="0"/>
              <w:left w:val="nil"/>
              <w:bottom w:val="single" w:color="000000" w:sz="4" w:space="0"/>
              <w:right w:val="single" w:color="000000" w:sz="4" w:space="0"/>
            </w:tcBorders>
            <w:shd w:val="clear" w:color="auto" w:fill="auto"/>
            <w:noWrap/>
            <w:vAlign w:val="center"/>
          </w:tcPr>
          <w:p w14:paraId="2BAC5E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必填（盖章）</w:t>
            </w:r>
          </w:p>
        </w:tc>
      </w:tr>
      <w:tr w14:paraId="0A3D6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FF01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589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2FC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4583" w:type="dxa"/>
            <w:gridSpan w:val="4"/>
            <w:tcBorders>
              <w:top w:val="single" w:color="000000" w:sz="4" w:space="0"/>
              <w:left w:val="nil"/>
              <w:bottom w:val="single" w:color="000000" w:sz="4" w:space="0"/>
              <w:right w:val="single" w:color="000000" w:sz="4" w:space="0"/>
            </w:tcBorders>
            <w:shd w:val="clear" w:color="auto" w:fill="auto"/>
            <w:noWrap/>
            <w:vAlign w:val="center"/>
          </w:tcPr>
          <w:p w14:paraId="26D09C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54782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A6E6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6A0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B94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583" w:type="dxa"/>
            <w:gridSpan w:val="4"/>
            <w:tcBorders>
              <w:top w:val="single" w:color="000000" w:sz="4" w:space="0"/>
              <w:left w:val="nil"/>
              <w:bottom w:val="single" w:color="000000" w:sz="4" w:space="0"/>
              <w:right w:val="single" w:color="000000" w:sz="4" w:space="0"/>
            </w:tcBorders>
            <w:shd w:val="clear" w:color="auto" w:fill="auto"/>
            <w:noWrap/>
            <w:vAlign w:val="center"/>
          </w:tcPr>
          <w:p w14:paraId="491EF9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6B778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D67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7946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A7F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583" w:type="dxa"/>
            <w:gridSpan w:val="4"/>
            <w:tcBorders>
              <w:top w:val="single" w:color="000000" w:sz="4" w:space="0"/>
              <w:left w:val="nil"/>
              <w:bottom w:val="single" w:color="000000" w:sz="4" w:space="0"/>
              <w:right w:val="single" w:color="000000" w:sz="4" w:space="0"/>
            </w:tcBorders>
            <w:shd w:val="clear" w:color="auto" w:fill="auto"/>
            <w:noWrap/>
            <w:vAlign w:val="center"/>
          </w:tcPr>
          <w:p w14:paraId="2AD244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64248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DCA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786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97D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4583" w:type="dxa"/>
            <w:gridSpan w:val="4"/>
            <w:tcBorders>
              <w:top w:val="single" w:color="000000" w:sz="4" w:space="0"/>
              <w:left w:val="nil"/>
              <w:bottom w:val="single" w:color="000000" w:sz="4" w:space="0"/>
              <w:right w:val="single" w:color="000000" w:sz="4" w:space="0"/>
            </w:tcBorders>
            <w:shd w:val="clear" w:color="auto" w:fill="auto"/>
            <w:noWrap/>
            <w:vAlign w:val="center"/>
          </w:tcPr>
          <w:p w14:paraId="60F731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322AA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2E7D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F20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6EB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D9D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742" w:type="dxa"/>
            <w:vMerge w:val="restart"/>
            <w:tcBorders>
              <w:top w:val="single" w:color="000000" w:sz="4" w:space="0"/>
              <w:left w:val="single" w:color="000000" w:sz="4" w:space="0"/>
              <w:right w:val="single" w:color="000000" w:sz="4" w:space="0"/>
            </w:tcBorders>
            <w:shd w:val="clear" w:color="auto" w:fill="auto"/>
            <w:vAlign w:val="center"/>
          </w:tcPr>
          <w:p w14:paraId="7FE770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数量</w:t>
            </w:r>
          </w:p>
        </w:tc>
        <w:tc>
          <w:tcPr>
            <w:tcW w:w="1392" w:type="dxa"/>
            <w:vMerge w:val="restart"/>
            <w:tcBorders>
              <w:top w:val="single" w:color="000000" w:sz="4" w:space="0"/>
              <w:left w:val="single" w:color="000000" w:sz="4" w:space="0"/>
              <w:right w:val="single" w:color="000000" w:sz="4" w:space="0"/>
            </w:tcBorders>
            <w:shd w:val="clear" w:color="auto" w:fill="auto"/>
            <w:vAlign w:val="center"/>
          </w:tcPr>
          <w:p w14:paraId="0A90F7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推荐品牌</w:t>
            </w:r>
            <w:bookmarkStart w:id="0" w:name="_GoBack"/>
            <w:bookmarkEnd w:id="0"/>
          </w:p>
        </w:tc>
        <w:tc>
          <w:tcPr>
            <w:tcW w:w="2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F0C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5AE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3956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4A6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EFB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077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293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742" w:type="dxa"/>
            <w:vMerge w:val="continue"/>
            <w:tcBorders>
              <w:left w:val="single" w:color="000000" w:sz="4" w:space="0"/>
              <w:bottom w:val="single" w:color="000000" w:sz="4" w:space="0"/>
              <w:right w:val="single" w:color="000000" w:sz="4" w:space="0"/>
            </w:tcBorders>
            <w:shd w:val="clear" w:color="auto" w:fill="auto"/>
            <w:vAlign w:val="center"/>
          </w:tcPr>
          <w:p w14:paraId="4DDB2B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392" w:type="dxa"/>
            <w:vMerge w:val="continue"/>
            <w:tcBorders>
              <w:left w:val="single" w:color="000000" w:sz="4" w:space="0"/>
              <w:bottom w:val="single" w:color="000000" w:sz="4" w:space="0"/>
              <w:right w:val="single" w:color="000000" w:sz="4" w:space="0"/>
            </w:tcBorders>
            <w:shd w:val="clear" w:color="auto" w:fill="auto"/>
            <w:vAlign w:val="center"/>
          </w:tcPr>
          <w:p w14:paraId="1452E7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5F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CD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1B4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6BF5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7263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40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超薄圆轴式升降显示器（21.5寸单面屏）</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9929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屏幕尺寸：≥21.5英寸; 物理分辨率：1920*1080; 显示屏视角：IPS全视角；屏幕亮度：300流明显示比例:16:9;</w:t>
            </w:r>
            <w:r>
              <w:rPr>
                <w:rFonts w:hint="eastAsia" w:ascii="宋体" w:hAnsi="宋体" w:cs="宋体"/>
                <w:i w:val="0"/>
                <w:iCs w:val="0"/>
                <w:color w:val="000000"/>
                <w:kern w:val="0"/>
                <w:sz w:val="24"/>
                <w:szCs w:val="24"/>
                <w:u w:val="none"/>
                <w:lang w:val="en-US" w:eastAsia="zh-CN" w:bidi="ar"/>
              </w:rPr>
              <w:br w:type="textWrapping"/>
            </w:r>
            <w:r>
              <w:rPr>
                <w:rFonts w:hint="eastAsia" w:ascii="宋体" w:hAnsi="宋体" w:cs="宋体"/>
                <w:i w:val="0"/>
                <w:iCs w:val="0"/>
                <w:color w:val="000000"/>
                <w:kern w:val="0"/>
                <w:sz w:val="24"/>
                <w:szCs w:val="24"/>
                <w:u w:val="none"/>
                <w:lang w:val="en-US" w:eastAsia="zh-CN" w:bidi="ar"/>
              </w:rPr>
              <w:t>前屏屏幕贴合工艺 :全贴合屏幕，液晶显示屏和玻璃之间无缝贴合，屏幕轻薄，不进灰尘，透明度高,显示效果靓丽。采用 2.5D 屏幕弧面屏幕，全面无边框屏结构，一体成型无任何外露螺丝</w:t>
            </w:r>
            <w:r>
              <w:rPr>
                <w:rFonts w:hint="eastAsia" w:ascii="宋体" w:hAnsi="宋体" w:cs="宋体"/>
                <w:i w:val="0"/>
                <w:iCs w:val="0"/>
                <w:color w:val="000000"/>
                <w:kern w:val="0"/>
                <w:sz w:val="24"/>
                <w:szCs w:val="24"/>
                <w:u w:val="none"/>
                <w:lang w:val="en-US" w:eastAsia="zh-CN" w:bidi="ar"/>
              </w:rPr>
              <w:br w:type="textWrapping"/>
            </w:r>
            <w:r>
              <w:rPr>
                <w:rFonts w:hint="eastAsia" w:ascii="宋体" w:hAnsi="宋体" w:cs="宋体"/>
                <w:i w:val="0"/>
                <w:iCs w:val="0"/>
                <w:color w:val="000000"/>
                <w:kern w:val="0"/>
                <w:sz w:val="24"/>
                <w:szCs w:val="24"/>
                <w:u w:val="none"/>
                <w:lang w:val="en-US" w:eastAsia="zh-CN" w:bidi="ar"/>
              </w:rPr>
              <w:t>采用超窄边框，黑边≤8MM</w:t>
            </w:r>
            <w:r>
              <w:rPr>
                <w:rFonts w:hint="eastAsia" w:ascii="宋体" w:hAnsi="宋体" w:cs="宋体"/>
                <w:i w:val="0"/>
                <w:iCs w:val="0"/>
                <w:color w:val="000000"/>
                <w:kern w:val="0"/>
                <w:sz w:val="24"/>
                <w:szCs w:val="24"/>
                <w:u w:val="none"/>
                <w:lang w:val="en-US" w:eastAsia="zh-CN" w:bidi="ar"/>
              </w:rPr>
              <w:br w:type="textWrapping"/>
            </w:r>
            <w:r>
              <w:rPr>
                <w:rFonts w:hint="eastAsia" w:ascii="宋体" w:hAnsi="宋体" w:cs="宋体"/>
                <w:i w:val="0"/>
                <w:iCs w:val="0"/>
                <w:color w:val="000000"/>
                <w:kern w:val="0"/>
                <w:sz w:val="24"/>
                <w:szCs w:val="24"/>
                <w:u w:val="none"/>
                <w:lang w:val="en-US" w:eastAsia="zh-CN" w:bidi="ar"/>
              </w:rPr>
              <w:t>升降器面板宽度≤50mm</w:t>
            </w:r>
            <w:r>
              <w:rPr>
                <w:rFonts w:hint="eastAsia" w:ascii="宋体" w:hAnsi="宋体" w:cs="宋体"/>
                <w:i w:val="0"/>
                <w:iCs w:val="0"/>
                <w:color w:val="000000"/>
                <w:kern w:val="0"/>
                <w:sz w:val="24"/>
                <w:szCs w:val="24"/>
                <w:u w:val="none"/>
                <w:lang w:val="en-US" w:eastAsia="zh-CN" w:bidi="ar"/>
              </w:rPr>
              <w:br w:type="textWrapping"/>
            </w:r>
            <w:r>
              <w:rPr>
                <w:rFonts w:hint="eastAsia" w:ascii="宋体" w:hAnsi="宋体" w:cs="宋体"/>
                <w:i w:val="0"/>
                <w:iCs w:val="0"/>
                <w:color w:val="000000"/>
                <w:kern w:val="0"/>
                <w:sz w:val="24"/>
                <w:szCs w:val="24"/>
                <w:u w:val="none"/>
                <w:lang w:val="en-US" w:eastAsia="zh-CN" w:bidi="ar"/>
              </w:rPr>
              <w:t>工艺：银色喷砂;</w:t>
            </w:r>
            <w:r>
              <w:rPr>
                <w:rFonts w:hint="eastAsia" w:ascii="宋体" w:hAnsi="宋体" w:cs="宋体"/>
                <w:i w:val="0"/>
                <w:iCs w:val="0"/>
                <w:color w:val="000000"/>
                <w:kern w:val="0"/>
                <w:sz w:val="24"/>
                <w:szCs w:val="24"/>
                <w:u w:val="none"/>
                <w:lang w:val="en-US" w:eastAsia="zh-CN" w:bidi="ar"/>
              </w:rPr>
              <w:br w:type="textWrapping"/>
            </w:r>
            <w:r>
              <w:rPr>
                <w:rFonts w:hint="eastAsia" w:ascii="宋体" w:hAnsi="宋体" w:cs="宋体"/>
                <w:i w:val="0"/>
                <w:iCs w:val="0"/>
                <w:color w:val="000000"/>
                <w:kern w:val="0"/>
                <w:sz w:val="24"/>
                <w:szCs w:val="24"/>
                <w:u w:val="none"/>
                <w:lang w:val="en-US" w:eastAsia="zh-CN" w:bidi="ar"/>
              </w:rPr>
              <w:t>面板功能：≥3个USB接口 ，自带抽拉式防尘盖，具有 USB 盖永不脱落特性.</w:t>
            </w:r>
            <w:r>
              <w:rPr>
                <w:rFonts w:hint="eastAsia" w:ascii="宋体" w:hAnsi="宋体" w:cs="宋体"/>
                <w:i w:val="0"/>
                <w:iCs w:val="0"/>
                <w:color w:val="000000"/>
                <w:kern w:val="0"/>
                <w:sz w:val="24"/>
                <w:szCs w:val="24"/>
                <w:u w:val="none"/>
                <w:lang w:val="en-US" w:eastAsia="zh-CN" w:bidi="ar"/>
              </w:rPr>
              <w:br w:type="textWrapping"/>
            </w:r>
            <w:r>
              <w:rPr>
                <w:rFonts w:hint="eastAsia" w:ascii="宋体" w:hAnsi="宋体" w:cs="宋体"/>
                <w:i w:val="0"/>
                <w:iCs w:val="0"/>
                <w:color w:val="000000"/>
                <w:kern w:val="0"/>
                <w:sz w:val="24"/>
                <w:szCs w:val="24"/>
                <w:u w:val="none"/>
                <w:lang w:val="en-US" w:eastAsia="zh-CN" w:bidi="ar"/>
              </w:rPr>
              <w:t>控制升降的物理按键：屏幕采用1个物理按键循环控上升、暂停与下降。</w:t>
            </w:r>
            <w:r>
              <w:rPr>
                <w:rFonts w:hint="eastAsia" w:ascii="宋体" w:hAnsi="宋体" w:cs="宋体"/>
                <w:i w:val="0"/>
                <w:iCs w:val="0"/>
                <w:color w:val="000000"/>
                <w:kern w:val="0"/>
                <w:sz w:val="24"/>
                <w:szCs w:val="24"/>
                <w:u w:val="none"/>
                <w:lang w:val="en-US" w:eastAsia="zh-CN" w:bidi="ar"/>
              </w:rPr>
              <w:br w:type="textWrapping"/>
            </w:r>
            <w:r>
              <w:rPr>
                <w:rFonts w:hint="eastAsia" w:ascii="宋体" w:hAnsi="宋体" w:cs="宋体"/>
                <w:i w:val="0"/>
                <w:iCs w:val="0"/>
                <w:color w:val="000000"/>
                <w:kern w:val="0"/>
                <w:sz w:val="24"/>
                <w:szCs w:val="24"/>
                <w:u w:val="none"/>
                <w:lang w:val="en-US" w:eastAsia="zh-CN" w:bidi="ar"/>
              </w:rPr>
              <w:t>开关机：屏幕上升到位后，内置终端自动供电开机，屏幕自动显示终端信号；屏幕下降后，内置终端自动关机，即终端开关机无需人为干预。</w:t>
            </w:r>
            <w:r>
              <w:rPr>
                <w:rFonts w:hint="eastAsia" w:ascii="宋体" w:hAnsi="宋体" w:cs="宋体"/>
                <w:i w:val="0"/>
                <w:iCs w:val="0"/>
                <w:color w:val="000000"/>
                <w:kern w:val="0"/>
                <w:sz w:val="24"/>
                <w:szCs w:val="24"/>
                <w:u w:val="none"/>
                <w:lang w:val="en-US" w:eastAsia="zh-CN" w:bidi="ar"/>
              </w:rPr>
              <w:br w:type="textWrapping"/>
            </w:r>
            <w:r>
              <w:rPr>
                <w:rFonts w:hint="eastAsia" w:ascii="宋体" w:hAnsi="宋体" w:cs="宋体"/>
                <w:i w:val="0"/>
                <w:iCs w:val="0"/>
                <w:color w:val="000000"/>
                <w:kern w:val="0"/>
                <w:sz w:val="24"/>
                <w:szCs w:val="24"/>
                <w:u w:val="none"/>
                <w:lang w:val="en-US" w:eastAsia="zh-CN" w:bidi="ar"/>
              </w:rPr>
              <w:t>上升后自动仰角14度，到最佳显示角度；屏幕观看视角调整方式满足：具备手扳调节任意角度，最大支持相对桌面 30 度，任意角度可自动回正下降。</w:t>
            </w:r>
            <w:r>
              <w:rPr>
                <w:rFonts w:hint="eastAsia" w:ascii="宋体" w:hAnsi="宋体" w:cs="宋体"/>
                <w:i w:val="0"/>
                <w:iCs w:val="0"/>
                <w:color w:val="000000"/>
                <w:kern w:val="0"/>
                <w:sz w:val="24"/>
                <w:szCs w:val="24"/>
                <w:u w:val="none"/>
                <w:lang w:val="en-US" w:eastAsia="zh-CN" w:bidi="ar"/>
              </w:rPr>
              <w:br w:type="textWrapping"/>
            </w:r>
            <w:r>
              <w:rPr>
                <w:rFonts w:hint="eastAsia" w:ascii="宋体" w:hAnsi="宋体" w:cs="宋体"/>
                <w:i w:val="0"/>
                <w:iCs w:val="0"/>
                <w:color w:val="000000"/>
                <w:kern w:val="0"/>
                <w:sz w:val="24"/>
                <w:szCs w:val="24"/>
                <w:u w:val="none"/>
                <w:lang w:val="en-US" w:eastAsia="zh-CN" w:bidi="ar"/>
              </w:rPr>
              <w:t>控制方式：RS485控制、无线遥控控制、面板按键控制</w:t>
            </w:r>
            <w:r>
              <w:rPr>
                <w:rFonts w:hint="eastAsia" w:ascii="宋体" w:hAnsi="宋体" w:cs="宋体"/>
                <w:i w:val="0"/>
                <w:iCs w:val="0"/>
                <w:color w:val="000000"/>
                <w:kern w:val="0"/>
                <w:sz w:val="24"/>
                <w:szCs w:val="24"/>
                <w:u w:val="none"/>
                <w:lang w:val="en-US" w:eastAsia="zh-CN" w:bidi="ar"/>
              </w:rPr>
              <w:br w:type="textWrapping"/>
            </w:r>
            <w:r>
              <w:rPr>
                <w:rFonts w:hint="eastAsia" w:ascii="宋体" w:hAnsi="宋体" w:cs="宋体"/>
                <w:i w:val="0"/>
                <w:iCs w:val="0"/>
                <w:color w:val="000000"/>
                <w:kern w:val="0"/>
                <w:sz w:val="24"/>
                <w:szCs w:val="24"/>
                <w:u w:val="none"/>
                <w:lang w:val="en-US" w:eastAsia="zh-CN" w:bidi="ar"/>
              </w:rPr>
              <w:t>遥控距离：30米</w:t>
            </w:r>
            <w:r>
              <w:rPr>
                <w:rFonts w:hint="eastAsia" w:ascii="宋体" w:hAnsi="宋体" w:cs="宋体"/>
                <w:i w:val="0"/>
                <w:iCs w:val="0"/>
                <w:color w:val="000000"/>
                <w:kern w:val="0"/>
                <w:sz w:val="24"/>
                <w:szCs w:val="24"/>
                <w:u w:val="none"/>
                <w:lang w:val="en-US" w:eastAsia="zh-CN" w:bidi="ar"/>
              </w:rPr>
              <w:br w:type="textWrapping"/>
            </w:r>
            <w:r>
              <w:rPr>
                <w:rFonts w:hint="eastAsia" w:ascii="宋体" w:hAnsi="宋体" w:cs="宋体"/>
                <w:i w:val="0"/>
                <w:iCs w:val="0"/>
                <w:color w:val="000000"/>
                <w:kern w:val="0"/>
                <w:sz w:val="24"/>
                <w:szCs w:val="24"/>
                <w:u w:val="none"/>
                <w:lang w:val="en-US" w:eastAsia="zh-CN" w:bidi="ar"/>
              </w:rPr>
              <w:t>单电机功能 单电机实现上升下降，并连动完成开关门角度偏转，单电机结构减少故障率.</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DC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台</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7D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78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Infree、DeskMedia、JDS，QSN</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2951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03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p>
        </w:tc>
        <w:tc>
          <w:tcPr>
            <w:tcW w:w="1155" w:type="dxa"/>
            <w:tcBorders>
              <w:top w:val="nil"/>
              <w:left w:val="single" w:color="000000" w:sz="4" w:space="0"/>
              <w:bottom w:val="single" w:color="000000" w:sz="4" w:space="0"/>
              <w:right w:val="single" w:color="000000" w:sz="4" w:space="0"/>
            </w:tcBorders>
            <w:shd w:val="clear" w:color="auto" w:fill="auto"/>
            <w:vAlign w:val="center"/>
          </w:tcPr>
          <w:p w14:paraId="4537FA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p>
        </w:tc>
      </w:tr>
      <w:tr w14:paraId="65C69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C4A1">
            <w:pPr>
              <w:keepNext w:val="0"/>
              <w:keepLines w:val="0"/>
              <w:pageBreakBefore w:val="0"/>
              <w:widowControl/>
              <w:suppressLineNumbers w:val="0"/>
              <w:tabs>
                <w:tab w:val="center" w:pos="400"/>
              </w:tabs>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w:t>
            </w:r>
          </w:p>
        </w:tc>
        <w:tc>
          <w:tcPr>
            <w:tcW w:w="1215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FC90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0" name="Text_Box_5"/>
                  <wp:cNvGraphicFramePr/>
                  <a:graphic xmlns:a="http://schemas.openxmlformats.org/drawingml/2006/main">
                    <a:graphicData uri="http://schemas.openxmlformats.org/drawingml/2006/picture">
                      <pic:pic xmlns:pic="http://schemas.openxmlformats.org/drawingml/2006/picture">
                        <pic:nvPicPr>
                          <pic:cNvPr id="20"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6" name="Text_Box_9"/>
                  <wp:cNvGraphicFramePr/>
                  <a:graphic xmlns:a="http://schemas.openxmlformats.org/drawingml/2006/main">
                    <a:graphicData uri="http://schemas.openxmlformats.org/drawingml/2006/picture">
                      <pic:pic xmlns:pic="http://schemas.openxmlformats.org/drawingml/2006/picture">
                        <pic:nvPicPr>
                          <pic:cNvPr id="26"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5" name="Text_Box_5_SpCnt_1"/>
                  <wp:cNvGraphicFramePr/>
                  <a:graphic xmlns:a="http://schemas.openxmlformats.org/drawingml/2006/main">
                    <a:graphicData uri="http://schemas.openxmlformats.org/drawingml/2006/picture">
                      <pic:pic xmlns:pic="http://schemas.openxmlformats.org/drawingml/2006/picture">
                        <pic:nvPicPr>
                          <pic:cNvPr id="25"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3" name="Text_Box_9_SpCnt_1"/>
                  <wp:cNvGraphicFramePr/>
                  <a:graphic xmlns:a="http://schemas.openxmlformats.org/drawingml/2006/main">
                    <a:graphicData uri="http://schemas.openxmlformats.org/drawingml/2006/picture">
                      <pic:pic xmlns:pic="http://schemas.openxmlformats.org/drawingml/2006/picture">
                        <pic:nvPicPr>
                          <pic:cNvPr id="23"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7" name="Text_Box_12"/>
                  <wp:cNvGraphicFramePr/>
                  <a:graphic xmlns:a="http://schemas.openxmlformats.org/drawingml/2006/main">
                    <a:graphicData uri="http://schemas.openxmlformats.org/drawingml/2006/picture">
                      <pic:pic xmlns:pic="http://schemas.openxmlformats.org/drawingml/2006/picture">
                        <pic:nvPicPr>
                          <pic:cNvPr id="27"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4" name="Text_Box_10"/>
                  <wp:cNvGraphicFramePr/>
                  <a:graphic xmlns:a="http://schemas.openxmlformats.org/drawingml/2006/main">
                    <a:graphicData uri="http://schemas.openxmlformats.org/drawingml/2006/picture">
                      <pic:pic xmlns:pic="http://schemas.openxmlformats.org/drawingml/2006/picture">
                        <pic:nvPicPr>
                          <pic:cNvPr id="24"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19" name="Text_Box_9_SpCnt_2"/>
                  <wp:cNvGraphicFramePr/>
                  <a:graphic xmlns:a="http://schemas.openxmlformats.org/drawingml/2006/main">
                    <a:graphicData uri="http://schemas.openxmlformats.org/drawingml/2006/picture">
                      <pic:pic xmlns:pic="http://schemas.openxmlformats.org/drawingml/2006/picture">
                        <pic:nvPicPr>
                          <pic:cNvPr id="19"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0" name="Text_Box_7"/>
                  <wp:cNvGraphicFramePr/>
                  <a:graphic xmlns:a="http://schemas.openxmlformats.org/drawingml/2006/main">
                    <a:graphicData uri="http://schemas.openxmlformats.org/drawingml/2006/picture">
                      <pic:pic xmlns:pic="http://schemas.openxmlformats.org/drawingml/2006/picture">
                        <pic:nvPicPr>
                          <pic:cNvPr id="30"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8" name="Text_Box_5_SpCnt_2"/>
                  <wp:cNvGraphicFramePr/>
                  <a:graphic xmlns:a="http://schemas.openxmlformats.org/drawingml/2006/main">
                    <a:graphicData uri="http://schemas.openxmlformats.org/drawingml/2006/picture">
                      <pic:pic xmlns:pic="http://schemas.openxmlformats.org/drawingml/2006/picture">
                        <pic:nvPicPr>
                          <pic:cNvPr id="28"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9" name="Text_Box_14"/>
                  <wp:cNvGraphicFramePr/>
                  <a:graphic xmlns:a="http://schemas.openxmlformats.org/drawingml/2006/main">
                    <a:graphicData uri="http://schemas.openxmlformats.org/drawingml/2006/picture">
                      <pic:pic xmlns:pic="http://schemas.openxmlformats.org/drawingml/2006/picture">
                        <pic:nvPicPr>
                          <pic:cNvPr id="29"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1" name="Text_Box_12_SpCnt_1"/>
                  <wp:cNvGraphicFramePr/>
                  <a:graphic xmlns:a="http://schemas.openxmlformats.org/drawingml/2006/main">
                    <a:graphicData uri="http://schemas.openxmlformats.org/drawingml/2006/picture">
                      <pic:pic xmlns:pic="http://schemas.openxmlformats.org/drawingml/2006/picture">
                        <pic:nvPicPr>
                          <pic:cNvPr id="21"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2" name="Text_Box_7_SpCnt_1"/>
                  <wp:cNvGraphicFramePr/>
                  <a:graphic xmlns:a="http://schemas.openxmlformats.org/drawingml/2006/main">
                    <a:graphicData uri="http://schemas.openxmlformats.org/drawingml/2006/picture">
                      <pic:pic xmlns:pic="http://schemas.openxmlformats.org/drawingml/2006/picture">
                        <pic:nvPicPr>
                          <pic:cNvPr id="22"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1" name="Text_Box_10_SpCnt_1"/>
                  <wp:cNvGraphicFramePr/>
                  <a:graphic xmlns:a="http://schemas.openxmlformats.org/drawingml/2006/main">
                    <a:graphicData uri="http://schemas.openxmlformats.org/drawingml/2006/picture">
                      <pic:pic xmlns:pic="http://schemas.openxmlformats.org/drawingml/2006/picture">
                        <pic:nvPicPr>
                          <pic:cNvPr id="31"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3" name="Text_Box_5_SpCnt_3"/>
                  <wp:cNvGraphicFramePr/>
                  <a:graphic xmlns:a="http://schemas.openxmlformats.org/drawingml/2006/main">
                    <a:graphicData uri="http://schemas.openxmlformats.org/drawingml/2006/picture">
                      <pic:pic xmlns:pic="http://schemas.openxmlformats.org/drawingml/2006/picture">
                        <pic:nvPicPr>
                          <pic:cNvPr id="33"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2" name="Text_Box_14_SpCnt_1"/>
                  <wp:cNvGraphicFramePr/>
                  <a:graphic xmlns:a="http://schemas.openxmlformats.org/drawingml/2006/main">
                    <a:graphicData uri="http://schemas.openxmlformats.org/drawingml/2006/picture">
                      <pic:pic xmlns:pic="http://schemas.openxmlformats.org/drawingml/2006/picture">
                        <pic:nvPicPr>
                          <pic:cNvPr id="32"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4" name="Text_Box_12_SpCnt_2"/>
                  <wp:cNvGraphicFramePr/>
                  <a:graphic xmlns:a="http://schemas.openxmlformats.org/drawingml/2006/main">
                    <a:graphicData uri="http://schemas.openxmlformats.org/drawingml/2006/picture">
                      <pic:pic xmlns:pic="http://schemas.openxmlformats.org/drawingml/2006/picture">
                        <pic:nvPicPr>
                          <pic:cNvPr id="34"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5" name="Text_Box_10_SpCnt_2"/>
                  <wp:cNvGraphicFramePr/>
                  <a:graphic xmlns:a="http://schemas.openxmlformats.org/drawingml/2006/main">
                    <a:graphicData uri="http://schemas.openxmlformats.org/drawingml/2006/picture">
                      <pic:pic xmlns:pic="http://schemas.openxmlformats.org/drawingml/2006/picture">
                        <pic:nvPicPr>
                          <pic:cNvPr id="35"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9" name="Text_Box_9_SpCnt_3"/>
                  <wp:cNvGraphicFramePr/>
                  <a:graphic xmlns:a="http://schemas.openxmlformats.org/drawingml/2006/main">
                    <a:graphicData uri="http://schemas.openxmlformats.org/drawingml/2006/picture">
                      <pic:pic xmlns:pic="http://schemas.openxmlformats.org/drawingml/2006/picture">
                        <pic:nvPicPr>
                          <pic:cNvPr id="39"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8" name="Text_Box_14_SpCnt_2"/>
                  <wp:cNvGraphicFramePr/>
                  <a:graphic xmlns:a="http://schemas.openxmlformats.org/drawingml/2006/main">
                    <a:graphicData uri="http://schemas.openxmlformats.org/drawingml/2006/picture">
                      <pic:pic xmlns:pic="http://schemas.openxmlformats.org/drawingml/2006/picture">
                        <pic:nvPicPr>
                          <pic:cNvPr id="38"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41" name="Text_Box_7_SpCnt_2"/>
                  <wp:cNvGraphicFramePr/>
                  <a:graphic xmlns:a="http://schemas.openxmlformats.org/drawingml/2006/main">
                    <a:graphicData uri="http://schemas.openxmlformats.org/drawingml/2006/picture">
                      <pic:pic xmlns:pic="http://schemas.openxmlformats.org/drawingml/2006/picture">
                        <pic:nvPicPr>
                          <pic:cNvPr id="41"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6" name="Text_Box_12_SpCnt_3"/>
                  <wp:cNvGraphicFramePr/>
                  <a:graphic xmlns:a="http://schemas.openxmlformats.org/drawingml/2006/main">
                    <a:graphicData uri="http://schemas.openxmlformats.org/drawingml/2006/picture">
                      <pic:pic xmlns:pic="http://schemas.openxmlformats.org/drawingml/2006/picture">
                        <pic:nvPicPr>
                          <pic:cNvPr id="36"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40" name="Text_Box_7_SpCnt_3"/>
                  <wp:cNvGraphicFramePr/>
                  <a:graphic xmlns:a="http://schemas.openxmlformats.org/drawingml/2006/main">
                    <a:graphicData uri="http://schemas.openxmlformats.org/drawingml/2006/picture">
                      <pic:pic xmlns:pic="http://schemas.openxmlformats.org/drawingml/2006/picture">
                        <pic:nvPicPr>
                          <pic:cNvPr id="40"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7" name="Text_Box_10_SpCnt_3"/>
                  <wp:cNvGraphicFramePr/>
                  <a:graphic xmlns:a="http://schemas.openxmlformats.org/drawingml/2006/main">
                    <a:graphicData uri="http://schemas.openxmlformats.org/drawingml/2006/picture">
                      <pic:pic xmlns:pic="http://schemas.openxmlformats.org/drawingml/2006/picture">
                        <pic:nvPicPr>
                          <pic:cNvPr id="37"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r>
      <w:tr w14:paraId="2A0D6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jc w:val="center"/>
        </w:trPr>
        <w:tc>
          <w:tcPr>
            <w:tcW w:w="1281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17B5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相关服务费用。</w:t>
            </w:r>
          </w:p>
        </w:tc>
      </w:tr>
      <w:tr w14:paraId="209EC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0E5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D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18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120A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4583" w:type="dxa"/>
            <w:gridSpan w:val="4"/>
            <w:tcBorders>
              <w:top w:val="single" w:color="000000" w:sz="4" w:space="0"/>
              <w:left w:val="nil"/>
              <w:bottom w:val="single" w:color="000000" w:sz="4" w:space="0"/>
              <w:right w:val="single" w:color="000000" w:sz="4" w:space="0"/>
            </w:tcBorders>
            <w:shd w:val="clear" w:color="auto" w:fill="auto"/>
            <w:vAlign w:val="center"/>
          </w:tcPr>
          <w:p w14:paraId="15DFBC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0927A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8B5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6A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2</w:t>
            </w:r>
            <w:r>
              <w:rPr>
                <w:rFonts w:hint="eastAsia" w:ascii="宋体" w:hAnsi="宋体" w:eastAsia="宋体" w:cs="宋体"/>
                <w:i w:val="0"/>
                <w:iCs w:val="0"/>
                <w:color w:val="FF0000"/>
                <w:kern w:val="0"/>
                <w:sz w:val="24"/>
                <w:szCs w:val="24"/>
                <w:u w:val="none"/>
                <w:lang w:val="en-US" w:eastAsia="zh-CN" w:bidi="ar"/>
              </w:rPr>
              <w:t>年</w:t>
            </w:r>
          </w:p>
        </w:tc>
        <w:tc>
          <w:tcPr>
            <w:tcW w:w="18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451F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4583" w:type="dxa"/>
            <w:gridSpan w:val="4"/>
            <w:tcBorders>
              <w:top w:val="single" w:color="000000" w:sz="4" w:space="0"/>
              <w:left w:val="nil"/>
              <w:bottom w:val="single" w:color="000000" w:sz="4" w:space="0"/>
              <w:right w:val="single" w:color="000000" w:sz="4" w:space="0"/>
            </w:tcBorders>
            <w:shd w:val="clear" w:color="auto" w:fill="auto"/>
            <w:vAlign w:val="center"/>
          </w:tcPr>
          <w:p w14:paraId="76B55A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FF0000"/>
                <w:sz w:val="24"/>
                <w:szCs w:val="24"/>
                <w:u w:val="none"/>
                <w:lang w:val="en-US" w:eastAsia="zh-CN"/>
              </w:rPr>
              <w:t>13%</w:t>
            </w:r>
          </w:p>
        </w:tc>
      </w:tr>
      <w:tr w14:paraId="54DE1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202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BE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7</w:t>
            </w:r>
            <w:r>
              <w:rPr>
                <w:rFonts w:hint="eastAsia" w:ascii="宋体" w:hAnsi="宋体" w:eastAsia="宋体" w:cs="宋体"/>
                <w:i w:val="0"/>
                <w:iCs w:val="0"/>
                <w:color w:val="FF0000"/>
                <w:kern w:val="0"/>
                <w:sz w:val="24"/>
                <w:szCs w:val="24"/>
                <w:u w:val="none"/>
                <w:lang w:val="en-US" w:eastAsia="zh-CN" w:bidi="ar"/>
              </w:rPr>
              <w:t>天</w:t>
            </w:r>
          </w:p>
        </w:tc>
        <w:tc>
          <w:tcPr>
            <w:tcW w:w="18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6C98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4583" w:type="dxa"/>
            <w:gridSpan w:val="4"/>
            <w:tcBorders>
              <w:top w:val="single" w:color="000000" w:sz="4" w:space="0"/>
              <w:left w:val="nil"/>
              <w:bottom w:val="single" w:color="000000" w:sz="4" w:space="0"/>
              <w:right w:val="single" w:color="000000" w:sz="4" w:space="0"/>
            </w:tcBorders>
            <w:shd w:val="clear" w:color="auto" w:fill="auto"/>
            <w:vAlign w:val="center"/>
          </w:tcPr>
          <w:p w14:paraId="00909C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合格后3个月内付清其余的货款</w:t>
            </w:r>
          </w:p>
        </w:tc>
      </w:tr>
    </w:tbl>
    <w:p w14:paraId="0F8AA302">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7BC658F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其发票内容与合同清单的一致。 </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r>
        <w:rPr>
          <w:rFonts w:hint="eastAsia" w:ascii="仿宋" w:hAnsi="仿宋" w:eastAsia="仿宋" w:cs="仿宋"/>
          <w:color w:val="auto"/>
          <w:sz w:val="24"/>
          <w:szCs w:val="24"/>
          <w:lang w:val="en-US" w:eastAsia="zh-CN"/>
        </w:rPr>
        <w:t xml:space="preserve">  </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1、付款条件:合同签订后个7日内支付30%预付款，货到验收合格后3个月内付清其余的货款。注：付款时供应商须提供正规发票（因发票问题而导致无法正常付款的，责任由供应商自己承担）。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26F42BD9">
      <w:pPr>
        <w:pStyle w:val="17"/>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65774B6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地址</w:t>
      </w:r>
      <w:r>
        <w:rPr>
          <w:rFonts w:hint="eastAsia" w:ascii="仿宋" w:hAnsi="仿宋" w:eastAsia="仿宋" w:cs="仿宋"/>
          <w:color w:val="auto"/>
          <w:sz w:val="24"/>
          <w:szCs w:val="24"/>
        </w:rPr>
        <w:t>:</w:t>
      </w:r>
    </w:p>
    <w:p w14:paraId="506F43B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1DF5D161">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070B3987">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01BA42C4">
      <w:pPr>
        <w:ind w:left="0" w:leftChars="0" w:firstLine="0" w:firstLineChars="0"/>
      </w:pPr>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1F91FD4"/>
    <w:rsid w:val="020D7BB0"/>
    <w:rsid w:val="023D1BA8"/>
    <w:rsid w:val="024B07E7"/>
    <w:rsid w:val="02635986"/>
    <w:rsid w:val="02BD280C"/>
    <w:rsid w:val="02BD7BE0"/>
    <w:rsid w:val="03626CD0"/>
    <w:rsid w:val="03BB36BB"/>
    <w:rsid w:val="04741F2A"/>
    <w:rsid w:val="058E7D29"/>
    <w:rsid w:val="06E65ABA"/>
    <w:rsid w:val="07CC21FA"/>
    <w:rsid w:val="08193505"/>
    <w:rsid w:val="082F30B8"/>
    <w:rsid w:val="0886108C"/>
    <w:rsid w:val="09DB488A"/>
    <w:rsid w:val="09FE7C7D"/>
    <w:rsid w:val="0A443009"/>
    <w:rsid w:val="0A5769FB"/>
    <w:rsid w:val="0A831766"/>
    <w:rsid w:val="0A894345"/>
    <w:rsid w:val="0AB97D0F"/>
    <w:rsid w:val="0BC2638F"/>
    <w:rsid w:val="0BDC6B78"/>
    <w:rsid w:val="0C882A07"/>
    <w:rsid w:val="0CD142BE"/>
    <w:rsid w:val="0D681C76"/>
    <w:rsid w:val="0D78696A"/>
    <w:rsid w:val="0DBF30C4"/>
    <w:rsid w:val="0DD96789"/>
    <w:rsid w:val="0F0F7410"/>
    <w:rsid w:val="100159F1"/>
    <w:rsid w:val="10275305"/>
    <w:rsid w:val="10941E2C"/>
    <w:rsid w:val="1106690F"/>
    <w:rsid w:val="115C3F6A"/>
    <w:rsid w:val="11CC2447"/>
    <w:rsid w:val="11F315DF"/>
    <w:rsid w:val="12BB3C49"/>
    <w:rsid w:val="133B07D3"/>
    <w:rsid w:val="138B678C"/>
    <w:rsid w:val="13A43BC7"/>
    <w:rsid w:val="144B0B25"/>
    <w:rsid w:val="148402F0"/>
    <w:rsid w:val="14F94AB5"/>
    <w:rsid w:val="1516314A"/>
    <w:rsid w:val="157C124F"/>
    <w:rsid w:val="15A123AF"/>
    <w:rsid w:val="15B405D8"/>
    <w:rsid w:val="16B37629"/>
    <w:rsid w:val="173B2189"/>
    <w:rsid w:val="17CE6EF3"/>
    <w:rsid w:val="185D2018"/>
    <w:rsid w:val="1870435E"/>
    <w:rsid w:val="18B65219"/>
    <w:rsid w:val="193251CA"/>
    <w:rsid w:val="1959078F"/>
    <w:rsid w:val="19850B90"/>
    <w:rsid w:val="1A48720E"/>
    <w:rsid w:val="1B811C42"/>
    <w:rsid w:val="1B96686D"/>
    <w:rsid w:val="1BB00C3B"/>
    <w:rsid w:val="1C1414B5"/>
    <w:rsid w:val="1C44694B"/>
    <w:rsid w:val="1CB642A6"/>
    <w:rsid w:val="1CBE542C"/>
    <w:rsid w:val="1CCD669D"/>
    <w:rsid w:val="1D1D6D2B"/>
    <w:rsid w:val="1E055896"/>
    <w:rsid w:val="1E434544"/>
    <w:rsid w:val="1E9E7647"/>
    <w:rsid w:val="1F444EB4"/>
    <w:rsid w:val="1F741D8C"/>
    <w:rsid w:val="1FC0011B"/>
    <w:rsid w:val="1FF000D2"/>
    <w:rsid w:val="1FF040AD"/>
    <w:rsid w:val="200C3464"/>
    <w:rsid w:val="23792EBE"/>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92E08DE"/>
    <w:rsid w:val="29E622D3"/>
    <w:rsid w:val="2A225DF1"/>
    <w:rsid w:val="2B394C5B"/>
    <w:rsid w:val="2B6A410E"/>
    <w:rsid w:val="2B9E5DD1"/>
    <w:rsid w:val="2C761843"/>
    <w:rsid w:val="2D4E2C33"/>
    <w:rsid w:val="2DC647A7"/>
    <w:rsid w:val="2E1B2848"/>
    <w:rsid w:val="2E1C17E4"/>
    <w:rsid w:val="2E342253"/>
    <w:rsid w:val="2EA5694F"/>
    <w:rsid w:val="2F561EEB"/>
    <w:rsid w:val="2FA05CF7"/>
    <w:rsid w:val="300D6BCC"/>
    <w:rsid w:val="30246158"/>
    <w:rsid w:val="30A001AC"/>
    <w:rsid w:val="31140310"/>
    <w:rsid w:val="318F1FBE"/>
    <w:rsid w:val="32F43123"/>
    <w:rsid w:val="33230EA1"/>
    <w:rsid w:val="337A506E"/>
    <w:rsid w:val="339B7C29"/>
    <w:rsid w:val="345319C9"/>
    <w:rsid w:val="34806859"/>
    <w:rsid w:val="362D741D"/>
    <w:rsid w:val="37A7439E"/>
    <w:rsid w:val="37CA2BC5"/>
    <w:rsid w:val="37F03342"/>
    <w:rsid w:val="38544E55"/>
    <w:rsid w:val="39064FC8"/>
    <w:rsid w:val="39963E4D"/>
    <w:rsid w:val="3A2C48CD"/>
    <w:rsid w:val="3A491A2A"/>
    <w:rsid w:val="3B0F7CBC"/>
    <w:rsid w:val="3B275F4B"/>
    <w:rsid w:val="3D2363DE"/>
    <w:rsid w:val="3DA64A40"/>
    <w:rsid w:val="3E015FF2"/>
    <w:rsid w:val="3E4F32EC"/>
    <w:rsid w:val="3E5157CB"/>
    <w:rsid w:val="3E6D1EE0"/>
    <w:rsid w:val="40130CAF"/>
    <w:rsid w:val="40490B34"/>
    <w:rsid w:val="41BB5149"/>
    <w:rsid w:val="420E65EA"/>
    <w:rsid w:val="421050D4"/>
    <w:rsid w:val="42A9416B"/>
    <w:rsid w:val="42BF1B92"/>
    <w:rsid w:val="4300637D"/>
    <w:rsid w:val="435E2995"/>
    <w:rsid w:val="4380190E"/>
    <w:rsid w:val="43966372"/>
    <w:rsid w:val="43F5417F"/>
    <w:rsid w:val="44EF43A5"/>
    <w:rsid w:val="46AE2EAA"/>
    <w:rsid w:val="46C358A8"/>
    <w:rsid w:val="477060B2"/>
    <w:rsid w:val="47D32116"/>
    <w:rsid w:val="48116822"/>
    <w:rsid w:val="481E471E"/>
    <w:rsid w:val="4831522D"/>
    <w:rsid w:val="48832749"/>
    <w:rsid w:val="493C6A78"/>
    <w:rsid w:val="49AB2DE5"/>
    <w:rsid w:val="4A0D21C2"/>
    <w:rsid w:val="4A0E06F8"/>
    <w:rsid w:val="4B1A7BD1"/>
    <w:rsid w:val="4BB038DA"/>
    <w:rsid w:val="4C73767A"/>
    <w:rsid w:val="4D030046"/>
    <w:rsid w:val="4D871781"/>
    <w:rsid w:val="4E802F1D"/>
    <w:rsid w:val="4EF042FA"/>
    <w:rsid w:val="4FAF448B"/>
    <w:rsid w:val="50417986"/>
    <w:rsid w:val="50C10961"/>
    <w:rsid w:val="50F73FA0"/>
    <w:rsid w:val="515E18DF"/>
    <w:rsid w:val="51765D9A"/>
    <w:rsid w:val="517D0941"/>
    <w:rsid w:val="51AC2F05"/>
    <w:rsid w:val="51DA0033"/>
    <w:rsid w:val="521C7398"/>
    <w:rsid w:val="52446C35"/>
    <w:rsid w:val="527E16D3"/>
    <w:rsid w:val="528B2778"/>
    <w:rsid w:val="52C14E18"/>
    <w:rsid w:val="5316709E"/>
    <w:rsid w:val="534B7B17"/>
    <w:rsid w:val="5427381E"/>
    <w:rsid w:val="54B57C0A"/>
    <w:rsid w:val="55FF6B96"/>
    <w:rsid w:val="56E07198"/>
    <w:rsid w:val="57221F02"/>
    <w:rsid w:val="57960F83"/>
    <w:rsid w:val="57DB3B40"/>
    <w:rsid w:val="58733762"/>
    <w:rsid w:val="58A15BF6"/>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E226DD"/>
    <w:rsid w:val="5FEE497A"/>
    <w:rsid w:val="6037085E"/>
    <w:rsid w:val="60C33852"/>
    <w:rsid w:val="61547E11"/>
    <w:rsid w:val="61852A60"/>
    <w:rsid w:val="62567581"/>
    <w:rsid w:val="631F4682"/>
    <w:rsid w:val="63D4721D"/>
    <w:rsid w:val="640673E3"/>
    <w:rsid w:val="640F17B5"/>
    <w:rsid w:val="64467711"/>
    <w:rsid w:val="64E752C4"/>
    <w:rsid w:val="656C5B7B"/>
    <w:rsid w:val="65DA0DD4"/>
    <w:rsid w:val="65F729C7"/>
    <w:rsid w:val="66934D57"/>
    <w:rsid w:val="66A27154"/>
    <w:rsid w:val="66A80E51"/>
    <w:rsid w:val="677551D7"/>
    <w:rsid w:val="67E31F8B"/>
    <w:rsid w:val="68577F92"/>
    <w:rsid w:val="698D373B"/>
    <w:rsid w:val="69FD1FFD"/>
    <w:rsid w:val="6A2B5BCA"/>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A15D8A"/>
    <w:rsid w:val="71270FB3"/>
    <w:rsid w:val="716C1E84"/>
    <w:rsid w:val="71E07B02"/>
    <w:rsid w:val="71F66174"/>
    <w:rsid w:val="7239784B"/>
    <w:rsid w:val="72C34258"/>
    <w:rsid w:val="73CE218C"/>
    <w:rsid w:val="74396181"/>
    <w:rsid w:val="74AA472D"/>
    <w:rsid w:val="768165E1"/>
    <w:rsid w:val="776C3E86"/>
    <w:rsid w:val="79DA1D09"/>
    <w:rsid w:val="7A182199"/>
    <w:rsid w:val="7A31327F"/>
    <w:rsid w:val="7A644061"/>
    <w:rsid w:val="7A6C1619"/>
    <w:rsid w:val="7AE1770B"/>
    <w:rsid w:val="7B114A31"/>
    <w:rsid w:val="7CCE7826"/>
    <w:rsid w:val="7D0F483D"/>
    <w:rsid w:val="7E004848"/>
    <w:rsid w:val="7E37366F"/>
    <w:rsid w:val="7ED656B9"/>
    <w:rsid w:val="7F3B3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4438</Words>
  <Characters>4577</Characters>
  <Lines>0</Lines>
  <Paragraphs>0</Paragraphs>
  <TotalTime>0</TotalTime>
  <ScaleCrop>false</ScaleCrop>
  <LinksUpToDate>false</LinksUpToDate>
  <CharactersWithSpaces>5368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2025-09-25T02:16:00Z</cp:lastPrinted>
  <dcterms:modified xsi:type="dcterms:W3CDTF">2026-08-04T06:18:38Z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D363515FA9794990BB59B3026C2A02AB_13</vt:lpwstr>
  </property>
  <property fmtid="{D5CDD505-2E9C-101B-9397-08002B2CF9AE}" pid="4" name="KSOTemplateDocerSaveRecord">
    <vt:lpwstr>eyJoZGlkIjoiODQxOGI3YmU3NTI5MzUwZjkwOWVjODQ3NGEwZTRmNzciLCJ1c2VySWQiOiI2OTk3Mjg4NzkifQ==</vt:lpwstr>
  </property>
</Properties>
</file>