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cs="宋体"/>
          <w:b w:val="0"/>
          <w:bCs w:val="0"/>
          <w:i w:val="0"/>
          <w:iCs w:val="0"/>
          <w:caps w:val="0"/>
          <w:color w:val="000000"/>
          <w:spacing w:val="0"/>
          <w:sz w:val="24"/>
          <w:szCs w:val="24"/>
          <w:shd w:val="clear" w:color="auto" w:fill="FFFFFF"/>
          <w:lang w:val="en-US" w:eastAsia="zh-CN"/>
        </w:rPr>
      </w:pPr>
      <w:r>
        <w:rPr>
          <w:rFonts w:hint="eastAsia" w:ascii="宋体" w:hAnsi="宋体" w:cs="宋体"/>
          <w:b w:val="0"/>
          <w:bCs w:val="0"/>
          <w:i w:val="0"/>
          <w:iCs w:val="0"/>
          <w:caps w:val="0"/>
          <w:color w:val="000000"/>
          <w:spacing w:val="0"/>
          <w:sz w:val="24"/>
          <w:szCs w:val="24"/>
          <w:shd w:val="clear" w:color="auto" w:fill="FFFFFF"/>
          <w:lang w:val="en-US" w:eastAsia="zh-CN"/>
        </w:rPr>
        <w:t xml:space="preserve"> </w:t>
      </w: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显示器及训练终端</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D87B517">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93A197F">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445BB332">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2.4、承诺函</w:t>
      </w:r>
    </w:p>
    <w:p w14:paraId="11D02222">
      <w:pPr>
        <w:rPr>
          <w:rFonts w:hint="eastAsia" w:ascii="仿宋" w:hAnsi="仿宋" w:eastAsia="仿宋" w:cs="仿宋"/>
          <w:b/>
          <w:bCs/>
          <w:kern w:val="2"/>
          <w:sz w:val="28"/>
          <w:szCs w:val="28"/>
          <w:lang w:val="en-US" w:eastAsia="zh-CN" w:bidi="ar-SA"/>
        </w:rPr>
      </w:pPr>
    </w:p>
    <w:p w14:paraId="1E74B67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r>
        <w:rPr>
          <w:rFonts w:hint="eastAsia"/>
          <w:lang w:val="en-US" w:eastAsia="zh-CN"/>
        </w:rPr>
        <w:t xml:space="preserve"> </w:t>
      </w:r>
      <w:r>
        <w:rPr>
          <w:rFonts w:hint="eastAsia"/>
          <w:u w:val="single"/>
          <w:lang w:val="en-US" w:eastAsia="zh-CN"/>
        </w:rPr>
        <w:t xml:space="preserve">                （供应商名称）</w:t>
      </w:r>
      <w:r>
        <w:rPr>
          <w:rFonts w:hint="eastAsia"/>
          <w:u w:val="none"/>
          <w:lang w:val="en-US" w:eastAsia="zh-CN"/>
        </w:rPr>
        <w:t>承诺：</w:t>
      </w:r>
    </w:p>
    <w:p w14:paraId="7342D83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61CDD25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u w:val="none"/>
          <w:lang w:val="en-US" w:eastAsia="zh-CN"/>
        </w:rPr>
      </w:pPr>
      <w:r>
        <w:rPr>
          <w:rFonts w:hint="eastAsia"/>
          <w:u w:val="none"/>
          <w:lang w:val="en-US" w:eastAsia="zh-CN"/>
        </w:rPr>
        <w:t>所投显示器、训练终端设备均为原厂全新设备，于中标后签订合同前提供原厂质保函。</w:t>
      </w:r>
    </w:p>
    <w:p w14:paraId="0D03DA6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447F48F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415762B2">
      <w:pPr>
        <w:keepNext w:val="0"/>
        <w:keepLines w:val="0"/>
        <w:pageBreakBefore w:val="0"/>
        <w:widowControl w:val="0"/>
        <w:kinsoku/>
        <w:wordWrap/>
        <w:overflowPunct/>
        <w:topLinePunct w:val="0"/>
        <w:autoSpaceDE/>
        <w:autoSpaceDN/>
        <w:bidi w:val="0"/>
        <w:adjustRightInd/>
        <w:snapToGrid/>
        <w:spacing w:line="480" w:lineRule="auto"/>
        <w:ind w:firstLine="5280" w:firstLineChars="2200"/>
        <w:jc w:val="both"/>
        <w:textAlignment w:val="auto"/>
        <w:rPr>
          <w:rFonts w:hint="default"/>
          <w:u w:val="single"/>
          <w:lang w:val="en-US" w:eastAsia="zh-CN"/>
        </w:rPr>
      </w:pPr>
      <w:r>
        <w:rPr>
          <w:rFonts w:hint="eastAsia"/>
          <w:u w:val="none"/>
          <w:lang w:val="en-US" w:eastAsia="zh-CN"/>
        </w:rPr>
        <w:t>供应商公章：</w:t>
      </w:r>
      <w:r>
        <w:rPr>
          <w:rFonts w:hint="eastAsia"/>
          <w:u w:val="single"/>
          <w:lang w:val="en-US" w:eastAsia="zh-CN"/>
        </w:rPr>
        <w:t xml:space="preserve">               </w:t>
      </w:r>
    </w:p>
    <w:p w14:paraId="1FF9D357">
      <w:pPr>
        <w:ind w:firstLine="5280" w:firstLineChars="220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u w:val="none"/>
          <w:lang w:val="en-US" w:eastAsia="zh-CN"/>
        </w:rPr>
        <w:t>日期：</w:t>
      </w:r>
      <w:r>
        <w:rPr>
          <w:rFonts w:hint="eastAsia"/>
          <w:u w:val="single"/>
          <w:lang w:val="en-US" w:eastAsia="zh-CN"/>
        </w:rPr>
        <w:t xml:space="preserve">            </w:t>
      </w:r>
    </w:p>
    <w:tbl>
      <w:tblPr>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1695"/>
        <w:gridCol w:w="4140"/>
        <w:gridCol w:w="1080"/>
        <w:gridCol w:w="1080"/>
        <w:gridCol w:w="1515"/>
        <w:gridCol w:w="1080"/>
        <w:gridCol w:w="1155"/>
        <w:gridCol w:w="1500"/>
      </w:tblGrid>
      <w:tr w14:paraId="79436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25" w:type="dxa"/>
            <w:gridSpan w:val="9"/>
            <w:tcBorders>
              <w:top w:val="nil"/>
              <w:left w:val="nil"/>
              <w:bottom w:val="nil"/>
              <w:right w:val="nil"/>
            </w:tcBorders>
            <w:shd w:val="clear"/>
            <w:vAlign w:val="center"/>
          </w:tcPr>
          <w:p w14:paraId="445177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bookmarkStart w:id="0" w:name="_GoBack"/>
            <w:r>
              <w:rPr>
                <w:rFonts w:hint="eastAsia"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14:paraId="78307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4EC906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202A77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548822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5250" w:type="dxa"/>
            <w:gridSpan w:val="4"/>
            <w:tcBorders>
              <w:top w:val="single" w:color="000000" w:sz="4" w:space="0"/>
              <w:left w:val="nil"/>
              <w:bottom w:val="single" w:color="000000" w:sz="4" w:space="0"/>
              <w:right w:val="single" w:color="000000" w:sz="4" w:space="0"/>
            </w:tcBorders>
            <w:shd w:val="clear"/>
            <w:vAlign w:val="center"/>
          </w:tcPr>
          <w:p w14:paraId="08FD43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必填（盖章）</w:t>
            </w:r>
          </w:p>
        </w:tc>
      </w:tr>
      <w:tr w14:paraId="63039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318C0E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2D912E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793D8F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法定代表人或授权委托人</w:t>
            </w:r>
          </w:p>
        </w:tc>
        <w:tc>
          <w:tcPr>
            <w:tcW w:w="5250" w:type="dxa"/>
            <w:gridSpan w:val="4"/>
            <w:tcBorders>
              <w:top w:val="single" w:color="000000" w:sz="4" w:space="0"/>
              <w:left w:val="nil"/>
              <w:bottom w:val="single" w:color="000000" w:sz="4" w:space="0"/>
              <w:right w:val="single" w:color="000000" w:sz="4" w:space="0"/>
            </w:tcBorders>
            <w:shd w:val="clear"/>
            <w:vAlign w:val="center"/>
          </w:tcPr>
          <w:p w14:paraId="0E85D2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29A57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551A91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45937E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3F47C1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5250" w:type="dxa"/>
            <w:gridSpan w:val="4"/>
            <w:tcBorders>
              <w:top w:val="single" w:color="000000" w:sz="4" w:space="0"/>
              <w:left w:val="nil"/>
              <w:bottom w:val="single" w:color="000000" w:sz="4" w:space="0"/>
              <w:right w:val="single" w:color="000000" w:sz="4" w:space="0"/>
            </w:tcBorders>
            <w:shd w:val="clear"/>
            <w:vAlign w:val="center"/>
          </w:tcPr>
          <w:p w14:paraId="1D4333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769F9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292391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6F4F40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3ED3EA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5250" w:type="dxa"/>
            <w:gridSpan w:val="4"/>
            <w:tcBorders>
              <w:top w:val="single" w:color="000000" w:sz="4" w:space="0"/>
              <w:left w:val="nil"/>
              <w:bottom w:val="single" w:color="000000" w:sz="4" w:space="0"/>
              <w:right w:val="single" w:color="000000" w:sz="4" w:space="0"/>
            </w:tcBorders>
            <w:shd w:val="clear"/>
            <w:vAlign w:val="center"/>
          </w:tcPr>
          <w:p w14:paraId="45AC4F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220E9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79712F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4BDA00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458F66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5250" w:type="dxa"/>
            <w:gridSpan w:val="4"/>
            <w:tcBorders>
              <w:top w:val="single" w:color="000000" w:sz="4" w:space="0"/>
              <w:left w:val="nil"/>
              <w:bottom w:val="single" w:color="000000" w:sz="4" w:space="0"/>
              <w:right w:val="single" w:color="000000" w:sz="4" w:space="0"/>
            </w:tcBorders>
            <w:shd w:val="clear"/>
            <w:vAlign w:val="center"/>
          </w:tcPr>
          <w:p w14:paraId="69C1A0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323B3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1332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6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0E16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1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5F227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854C5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F0A1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5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9EEA1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推荐品牌</w:t>
            </w:r>
          </w:p>
        </w:tc>
        <w:tc>
          <w:tcPr>
            <w:tcW w:w="2235" w:type="dxa"/>
            <w:gridSpan w:val="2"/>
            <w:tcBorders>
              <w:top w:val="single" w:color="000000" w:sz="4" w:space="0"/>
              <w:left w:val="single" w:color="000000" w:sz="4" w:space="0"/>
              <w:bottom w:val="single" w:color="000000" w:sz="4" w:space="0"/>
              <w:right w:val="single" w:color="000000" w:sz="4" w:space="0"/>
            </w:tcBorders>
            <w:shd w:val="clear"/>
            <w:vAlign w:val="center"/>
          </w:tcPr>
          <w:p w14:paraId="3E1823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CFE15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14:paraId="2ADD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9942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B0A6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82E61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653C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0AF8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826B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4DE49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1092C4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F6E9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489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79D5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0E8529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75寸显示器</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34CAB7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★1、屏幕尺寸：不低于75寸；</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★2、播放比例：16:9；</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★3、运行内存不低于4GB；</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★4、存储内存不低于 32GB；</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5、刷新率：60Hz；</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6、含大功率音响；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4F76A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289A6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356231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AOC、小米、HP、联想、海信</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30546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677D86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51A7AF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7254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A675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08E3C5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显示器支架</w:t>
            </w:r>
          </w:p>
        </w:tc>
        <w:tc>
          <w:tcPr>
            <w:tcW w:w="4140" w:type="dxa"/>
            <w:tcBorders>
              <w:top w:val="single" w:color="000000" w:sz="4" w:space="0"/>
              <w:left w:val="nil"/>
              <w:bottom w:val="single" w:color="000000" w:sz="4" w:space="0"/>
              <w:right w:val="nil"/>
            </w:tcBorders>
            <w:shd w:val="clear"/>
            <w:vAlign w:val="center"/>
          </w:tcPr>
          <w:p w14:paraId="3B1FAD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1、材质：尼龙材质反弹器金属内芯，原材料为碳钢材质强度是普通冷轧钢板的2倍，具有强度高、抗腐蚀、不生锈等优点。</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2、支架配有前后\上下\左右六方位调节装置，屏体拼缝平整，美观大方。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0F463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56338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27D82A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E467B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6709A7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5B7354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3033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8FCB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27A865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显示器1</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54517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★1、尺寸：27英寸；</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★2、亮度：≥300cd/㎡；</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3、对比度：1000:1；</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4、屏幕比例：16:9；</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5、分辨率：3840*2160；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6、刷新率：160Hz；</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7、旋转升降；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3B262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70B2A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00838A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AOC、小米、HP、联想、海信</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9AE5A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1E52E6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464B69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7C55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F09D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69F7F9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显示器2</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468FA5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★1、尺寸：34英寸；</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★2、亮度：≥300cd/㎡；</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3、对比度：4000:1；</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4、分辨率：3840*1440；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5、刷新率：120Hz；|</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6、旋转升降；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C0897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65A31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2F9B8F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AOC、小米、HP、联想、海信</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A6E77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6DD9AA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78842B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532A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0AD3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3801F5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训练终端</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1B0611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★1、CPU不低于1颗，核数≥8核，主频≥3.0 GHz；</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★2、内存≥32G；</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3、硬盘≥1T SSD盘；</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★4、独立显卡≥12G；</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5、电源≥600W；</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6、板载单口千兆RJ45网卡；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7、含键盘、鼠标；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89166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0C311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533AB871">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EE449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1FD9B8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2A435A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751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49DC3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3245" w:type="dxa"/>
            <w:gridSpan w:val="8"/>
            <w:tcBorders>
              <w:top w:val="single" w:color="000000" w:sz="4" w:space="0"/>
              <w:left w:val="single" w:color="000000" w:sz="4" w:space="0"/>
              <w:bottom w:val="single" w:color="000000" w:sz="4" w:space="0"/>
              <w:right w:val="single" w:color="000000" w:sz="4" w:space="0"/>
            </w:tcBorders>
            <w:shd w:val="clear"/>
            <w:vAlign w:val="center"/>
          </w:tcPr>
          <w:p w14:paraId="494B9F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 name="Text_Box_5"/>
                  <wp:cNvGraphicFramePr/>
                  <a:graphic xmlns:a="http://schemas.openxmlformats.org/drawingml/2006/main">
                    <a:graphicData uri="http://schemas.openxmlformats.org/drawingml/2006/picture">
                      <pic:pic xmlns:pic="http://schemas.openxmlformats.org/drawingml/2006/picture">
                        <pic:nvPicPr>
                          <pic:cNvPr id="6"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 name="Text_Box_9"/>
                  <wp:cNvGraphicFramePr/>
                  <a:graphic xmlns:a="http://schemas.openxmlformats.org/drawingml/2006/main">
                    <a:graphicData uri="http://schemas.openxmlformats.org/drawingml/2006/picture">
                      <pic:pic xmlns:pic="http://schemas.openxmlformats.org/drawingml/2006/picture">
                        <pic:nvPicPr>
                          <pic:cNvPr id="7"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8" name="Text_Box_5_SpCnt_1"/>
                  <wp:cNvGraphicFramePr/>
                  <a:graphic xmlns:a="http://schemas.openxmlformats.org/drawingml/2006/main">
                    <a:graphicData uri="http://schemas.openxmlformats.org/drawingml/2006/picture">
                      <pic:pic xmlns:pic="http://schemas.openxmlformats.org/drawingml/2006/picture">
                        <pic:nvPicPr>
                          <pic:cNvPr id="8"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 name="Text_Box_9_SpCnt_1"/>
                  <wp:cNvGraphicFramePr/>
                  <a:graphic xmlns:a="http://schemas.openxmlformats.org/drawingml/2006/main">
                    <a:graphicData uri="http://schemas.openxmlformats.org/drawingml/2006/picture">
                      <pic:pic xmlns:pic="http://schemas.openxmlformats.org/drawingml/2006/picture">
                        <pic:nvPicPr>
                          <pic:cNvPr id="1"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 name="Text_Box_12"/>
                  <wp:cNvGraphicFramePr/>
                  <a:graphic xmlns:a="http://schemas.openxmlformats.org/drawingml/2006/main">
                    <a:graphicData uri="http://schemas.openxmlformats.org/drawingml/2006/picture">
                      <pic:pic xmlns:pic="http://schemas.openxmlformats.org/drawingml/2006/picture">
                        <pic:nvPicPr>
                          <pic:cNvPr id="2"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 name="Text_Box_10"/>
                  <wp:cNvGraphicFramePr/>
                  <a:graphic xmlns:a="http://schemas.openxmlformats.org/drawingml/2006/main">
                    <a:graphicData uri="http://schemas.openxmlformats.org/drawingml/2006/picture">
                      <pic:pic xmlns:pic="http://schemas.openxmlformats.org/drawingml/2006/picture">
                        <pic:nvPicPr>
                          <pic:cNvPr id="3"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 name="Text_Box_9_SpCnt_2"/>
                  <wp:cNvGraphicFramePr/>
                  <a:graphic xmlns:a="http://schemas.openxmlformats.org/drawingml/2006/main">
                    <a:graphicData uri="http://schemas.openxmlformats.org/drawingml/2006/picture">
                      <pic:pic xmlns:pic="http://schemas.openxmlformats.org/drawingml/2006/picture">
                        <pic:nvPicPr>
                          <pic:cNvPr id="9"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 name="Text_Box_7"/>
                  <wp:cNvGraphicFramePr/>
                  <a:graphic xmlns:a="http://schemas.openxmlformats.org/drawingml/2006/main">
                    <a:graphicData uri="http://schemas.openxmlformats.org/drawingml/2006/picture">
                      <pic:pic xmlns:pic="http://schemas.openxmlformats.org/drawingml/2006/picture">
                        <pic:nvPicPr>
                          <pic:cNvPr id="10"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3" name="Text_Box_5_SpCnt_2"/>
                  <wp:cNvGraphicFramePr/>
                  <a:graphic xmlns:a="http://schemas.openxmlformats.org/drawingml/2006/main">
                    <a:graphicData uri="http://schemas.openxmlformats.org/drawingml/2006/picture">
                      <pic:pic xmlns:pic="http://schemas.openxmlformats.org/drawingml/2006/picture">
                        <pic:nvPicPr>
                          <pic:cNvPr id="13"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 name="Text_Box_14"/>
                  <wp:cNvGraphicFramePr/>
                  <a:graphic xmlns:a="http://schemas.openxmlformats.org/drawingml/2006/main">
                    <a:graphicData uri="http://schemas.openxmlformats.org/drawingml/2006/picture">
                      <pic:pic xmlns:pic="http://schemas.openxmlformats.org/drawingml/2006/picture">
                        <pic:nvPicPr>
                          <pic:cNvPr id="11"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2" name="Text_Box_12_SpCnt_1"/>
                  <wp:cNvGraphicFramePr/>
                  <a:graphic xmlns:a="http://schemas.openxmlformats.org/drawingml/2006/main">
                    <a:graphicData uri="http://schemas.openxmlformats.org/drawingml/2006/picture">
                      <pic:pic xmlns:pic="http://schemas.openxmlformats.org/drawingml/2006/picture">
                        <pic:nvPicPr>
                          <pic:cNvPr id="12"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 name="Text_Box_7_SpCnt_1"/>
                  <wp:cNvGraphicFramePr/>
                  <a:graphic xmlns:a="http://schemas.openxmlformats.org/drawingml/2006/main">
                    <a:graphicData uri="http://schemas.openxmlformats.org/drawingml/2006/picture">
                      <pic:pic xmlns:pic="http://schemas.openxmlformats.org/drawingml/2006/picture">
                        <pic:nvPicPr>
                          <pic:cNvPr id="4"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 name="Text_Box_10_SpCnt_1"/>
                  <wp:cNvGraphicFramePr/>
                  <a:graphic xmlns:a="http://schemas.openxmlformats.org/drawingml/2006/main">
                    <a:graphicData uri="http://schemas.openxmlformats.org/drawingml/2006/picture">
                      <pic:pic xmlns:pic="http://schemas.openxmlformats.org/drawingml/2006/picture">
                        <pic:nvPicPr>
                          <pic:cNvPr id="5"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2" name="Text_Box_5_SpCnt_3"/>
                  <wp:cNvGraphicFramePr/>
                  <a:graphic xmlns:a="http://schemas.openxmlformats.org/drawingml/2006/main">
                    <a:graphicData uri="http://schemas.openxmlformats.org/drawingml/2006/picture">
                      <pic:pic xmlns:pic="http://schemas.openxmlformats.org/drawingml/2006/picture">
                        <pic:nvPicPr>
                          <pic:cNvPr id="22"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4" name="Text_Box_14_SpCnt_1"/>
                  <wp:cNvGraphicFramePr/>
                  <a:graphic xmlns:a="http://schemas.openxmlformats.org/drawingml/2006/main">
                    <a:graphicData uri="http://schemas.openxmlformats.org/drawingml/2006/picture">
                      <pic:pic xmlns:pic="http://schemas.openxmlformats.org/drawingml/2006/picture">
                        <pic:nvPicPr>
                          <pic:cNvPr id="14"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9" name="Text_Box_12_SpCnt_2"/>
                  <wp:cNvGraphicFramePr/>
                  <a:graphic xmlns:a="http://schemas.openxmlformats.org/drawingml/2006/main">
                    <a:graphicData uri="http://schemas.openxmlformats.org/drawingml/2006/picture">
                      <pic:pic xmlns:pic="http://schemas.openxmlformats.org/drawingml/2006/picture">
                        <pic:nvPicPr>
                          <pic:cNvPr id="19"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0" name="Text_Box_10_SpCnt_2"/>
                  <wp:cNvGraphicFramePr/>
                  <a:graphic xmlns:a="http://schemas.openxmlformats.org/drawingml/2006/main">
                    <a:graphicData uri="http://schemas.openxmlformats.org/drawingml/2006/picture">
                      <pic:pic xmlns:pic="http://schemas.openxmlformats.org/drawingml/2006/picture">
                        <pic:nvPicPr>
                          <pic:cNvPr id="20"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7" name="Text_Box_9_SpCnt_3"/>
                  <wp:cNvGraphicFramePr/>
                  <a:graphic xmlns:a="http://schemas.openxmlformats.org/drawingml/2006/main">
                    <a:graphicData uri="http://schemas.openxmlformats.org/drawingml/2006/picture">
                      <pic:pic xmlns:pic="http://schemas.openxmlformats.org/drawingml/2006/picture">
                        <pic:nvPicPr>
                          <pic:cNvPr id="17"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5" name="Text_Box_14_SpCnt_2"/>
                  <wp:cNvGraphicFramePr/>
                  <a:graphic xmlns:a="http://schemas.openxmlformats.org/drawingml/2006/main">
                    <a:graphicData uri="http://schemas.openxmlformats.org/drawingml/2006/picture">
                      <pic:pic xmlns:pic="http://schemas.openxmlformats.org/drawingml/2006/picture">
                        <pic:nvPicPr>
                          <pic:cNvPr id="15"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6" name="Text_Box_7_SpCnt_2"/>
                  <wp:cNvGraphicFramePr/>
                  <a:graphic xmlns:a="http://schemas.openxmlformats.org/drawingml/2006/main">
                    <a:graphicData uri="http://schemas.openxmlformats.org/drawingml/2006/picture">
                      <pic:pic xmlns:pic="http://schemas.openxmlformats.org/drawingml/2006/picture">
                        <pic:nvPicPr>
                          <pic:cNvPr id="16"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1" name="Text_Box_12_SpCnt_3"/>
                  <wp:cNvGraphicFramePr/>
                  <a:graphic xmlns:a="http://schemas.openxmlformats.org/drawingml/2006/main">
                    <a:graphicData uri="http://schemas.openxmlformats.org/drawingml/2006/picture">
                      <pic:pic xmlns:pic="http://schemas.openxmlformats.org/drawingml/2006/picture">
                        <pic:nvPicPr>
                          <pic:cNvPr id="21"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3" name="Text_Box_7_SpCnt_3"/>
                  <wp:cNvGraphicFramePr/>
                  <a:graphic xmlns:a="http://schemas.openxmlformats.org/drawingml/2006/main">
                    <a:graphicData uri="http://schemas.openxmlformats.org/drawingml/2006/picture">
                      <pic:pic xmlns:pic="http://schemas.openxmlformats.org/drawingml/2006/picture">
                        <pic:nvPicPr>
                          <pic:cNvPr id="23"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8" name="Text_Box_10_SpCnt_3"/>
                  <wp:cNvGraphicFramePr/>
                  <a:graphic xmlns:a="http://schemas.openxmlformats.org/drawingml/2006/main">
                    <a:graphicData uri="http://schemas.openxmlformats.org/drawingml/2006/picture">
                      <pic:pic xmlns:pic="http://schemas.openxmlformats.org/drawingml/2006/picture">
                        <pic:nvPicPr>
                          <pic:cNvPr id="18"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none" w:color="auto" w:sz="0" w:space="0"/>
                <w:lang w:val="en-US" w:eastAsia="zh-CN" w:bidi="ar"/>
              </w:rPr>
              <w:t>合计：</w:t>
            </w:r>
            <w:r>
              <w:rPr>
                <w:rFonts w:hint="eastAsia" w:ascii="宋体" w:hAnsi="宋体" w:eastAsia="宋体" w:cs="宋体"/>
                <w:i w:val="0"/>
                <w:iCs w:val="0"/>
                <w:color w:val="000000"/>
                <w:kern w:val="0"/>
                <w:sz w:val="24"/>
                <w:szCs w:val="24"/>
                <w:u w:val="singl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元</w:t>
            </w:r>
          </w:p>
        </w:tc>
      </w:tr>
      <w:tr w14:paraId="242B4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vAlign w:val="center"/>
          </w:tcPr>
          <w:p w14:paraId="648C5F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注：以上报价含可抵扣的增值税专用发票、运费、卸货以及安装调试相关服务费用。</w:t>
            </w:r>
          </w:p>
        </w:tc>
      </w:tr>
      <w:tr w14:paraId="2FAF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6381E8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是否接受保证金（控制价的2%）           </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51F614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填“是/否”</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651EC6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是否接受履约保证金（成交金额的10%）</w:t>
            </w:r>
          </w:p>
        </w:tc>
        <w:tc>
          <w:tcPr>
            <w:tcW w:w="5250" w:type="dxa"/>
            <w:gridSpan w:val="4"/>
            <w:tcBorders>
              <w:top w:val="single" w:color="000000" w:sz="4" w:space="0"/>
              <w:left w:val="single" w:color="000000" w:sz="4" w:space="0"/>
              <w:bottom w:val="single" w:color="000000" w:sz="4" w:space="0"/>
              <w:right w:val="single" w:color="000000" w:sz="4" w:space="0"/>
            </w:tcBorders>
            <w:shd w:val="clear"/>
            <w:vAlign w:val="center"/>
          </w:tcPr>
          <w:p w14:paraId="00A444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填“是/否”</w:t>
            </w:r>
          </w:p>
        </w:tc>
      </w:tr>
      <w:tr w14:paraId="1004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3A861E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质保期：             </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32E8A5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2年</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767823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税点：</w:t>
            </w:r>
          </w:p>
        </w:tc>
        <w:tc>
          <w:tcPr>
            <w:tcW w:w="5250" w:type="dxa"/>
            <w:gridSpan w:val="4"/>
            <w:tcBorders>
              <w:top w:val="single" w:color="000000" w:sz="4" w:space="0"/>
              <w:left w:val="single" w:color="000000" w:sz="4" w:space="0"/>
              <w:bottom w:val="single" w:color="000000" w:sz="4" w:space="0"/>
              <w:right w:val="single" w:color="000000" w:sz="4" w:space="0"/>
            </w:tcBorders>
            <w:shd w:val="clear"/>
            <w:vAlign w:val="center"/>
          </w:tcPr>
          <w:p w14:paraId="60C601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r>
      <w:tr w14:paraId="45451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0C108F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供货期：             </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43A2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7天</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44FC7D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付款方式</w:t>
            </w:r>
          </w:p>
        </w:tc>
        <w:tc>
          <w:tcPr>
            <w:tcW w:w="5250" w:type="dxa"/>
            <w:gridSpan w:val="4"/>
            <w:tcBorders>
              <w:top w:val="single" w:color="000000" w:sz="4" w:space="0"/>
              <w:left w:val="single" w:color="000000" w:sz="4" w:space="0"/>
              <w:bottom w:val="single" w:color="000000" w:sz="4" w:space="0"/>
              <w:right w:val="single" w:color="000000" w:sz="4" w:space="0"/>
            </w:tcBorders>
            <w:shd w:val="clear"/>
            <w:vAlign w:val="center"/>
          </w:tcPr>
          <w:p w14:paraId="11F826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合同签订后个7日内支付30%预付款，货到验收合格后1个月内付清其余的货款。</w:t>
            </w:r>
          </w:p>
        </w:tc>
      </w:tr>
      <w:bookmarkEnd w:id="0"/>
    </w:tbl>
    <w:p w14:paraId="60A76270">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r>
        <w:rPr>
          <w:rFonts w:hint="eastAsia" w:ascii="仿宋" w:hAnsi="仿宋" w:eastAsia="仿宋" w:cs="仿宋"/>
          <w:color w:val="auto"/>
          <w:sz w:val="24"/>
          <w:szCs w:val="24"/>
          <w:lang w:val="en-US" w:eastAsia="zh-CN"/>
        </w:rPr>
        <w:t xml:space="preserve">  </w:t>
      </w:r>
    </w:p>
    <w:p w14:paraId="7776C62B">
      <w:pPr>
        <w:spacing w:line="360" w:lineRule="auto"/>
        <w:ind w:left="0" w:leftChars="0"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1、付款条件:合同签订后个7日内支付30%预付款，货到验收合格后1个月内付清其余的货款。注：付款时供应商须提供正规发票（因发票问题而导致无法正常付款的，责任由供应商自己承担）。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A47DE8"/>
    <w:rsid w:val="02A92895"/>
    <w:rsid w:val="02AF3174"/>
    <w:rsid w:val="02B01361"/>
    <w:rsid w:val="02BD280C"/>
    <w:rsid w:val="02BD7BE0"/>
    <w:rsid w:val="02C32E43"/>
    <w:rsid w:val="03626CD0"/>
    <w:rsid w:val="03BB36BB"/>
    <w:rsid w:val="043D0B01"/>
    <w:rsid w:val="04741F2A"/>
    <w:rsid w:val="04F4154D"/>
    <w:rsid w:val="058E7D29"/>
    <w:rsid w:val="06E65ABA"/>
    <w:rsid w:val="07A1571D"/>
    <w:rsid w:val="07A32B45"/>
    <w:rsid w:val="07CC21FA"/>
    <w:rsid w:val="08193505"/>
    <w:rsid w:val="082F30B8"/>
    <w:rsid w:val="0886108C"/>
    <w:rsid w:val="0914323A"/>
    <w:rsid w:val="09287EA3"/>
    <w:rsid w:val="09DB488A"/>
    <w:rsid w:val="09FE7C7D"/>
    <w:rsid w:val="0A443009"/>
    <w:rsid w:val="0A814BAC"/>
    <w:rsid w:val="0A831766"/>
    <w:rsid w:val="0B48482D"/>
    <w:rsid w:val="0B9F15E2"/>
    <w:rsid w:val="0BC2638F"/>
    <w:rsid w:val="0BDC6B78"/>
    <w:rsid w:val="0C882A07"/>
    <w:rsid w:val="0CD142BE"/>
    <w:rsid w:val="0D5154EF"/>
    <w:rsid w:val="0D681C76"/>
    <w:rsid w:val="0D78696A"/>
    <w:rsid w:val="0DBF30C4"/>
    <w:rsid w:val="0DD96789"/>
    <w:rsid w:val="0EE228A3"/>
    <w:rsid w:val="0F0F7410"/>
    <w:rsid w:val="100159F1"/>
    <w:rsid w:val="10275305"/>
    <w:rsid w:val="10941E2C"/>
    <w:rsid w:val="1106690F"/>
    <w:rsid w:val="115C3F6A"/>
    <w:rsid w:val="11CC2447"/>
    <w:rsid w:val="11F315DF"/>
    <w:rsid w:val="123B094E"/>
    <w:rsid w:val="127128AB"/>
    <w:rsid w:val="12BB3C49"/>
    <w:rsid w:val="133B07D3"/>
    <w:rsid w:val="138B678C"/>
    <w:rsid w:val="13A43BC7"/>
    <w:rsid w:val="144B0B25"/>
    <w:rsid w:val="14EA24B1"/>
    <w:rsid w:val="14F94AB5"/>
    <w:rsid w:val="1516314A"/>
    <w:rsid w:val="157C124F"/>
    <w:rsid w:val="15A123AF"/>
    <w:rsid w:val="15B405D8"/>
    <w:rsid w:val="15F226EB"/>
    <w:rsid w:val="16B37629"/>
    <w:rsid w:val="17011989"/>
    <w:rsid w:val="1703102B"/>
    <w:rsid w:val="170F66BD"/>
    <w:rsid w:val="173B2189"/>
    <w:rsid w:val="17CE6EF3"/>
    <w:rsid w:val="185D2018"/>
    <w:rsid w:val="1870435E"/>
    <w:rsid w:val="18B65219"/>
    <w:rsid w:val="193251CA"/>
    <w:rsid w:val="1959078F"/>
    <w:rsid w:val="19850B90"/>
    <w:rsid w:val="1A48720E"/>
    <w:rsid w:val="1A5A5241"/>
    <w:rsid w:val="1B811C42"/>
    <w:rsid w:val="1B96686D"/>
    <w:rsid w:val="1BB00C3B"/>
    <w:rsid w:val="1C1414B5"/>
    <w:rsid w:val="1C44694B"/>
    <w:rsid w:val="1CB642A6"/>
    <w:rsid w:val="1CBE542C"/>
    <w:rsid w:val="1CCD669D"/>
    <w:rsid w:val="1D5859F5"/>
    <w:rsid w:val="1D8765A8"/>
    <w:rsid w:val="1E055896"/>
    <w:rsid w:val="1E434544"/>
    <w:rsid w:val="1F444EB4"/>
    <w:rsid w:val="1F720A69"/>
    <w:rsid w:val="1F741D8C"/>
    <w:rsid w:val="1FC0011B"/>
    <w:rsid w:val="1FF000D2"/>
    <w:rsid w:val="1FF040AD"/>
    <w:rsid w:val="200C3464"/>
    <w:rsid w:val="216631FB"/>
    <w:rsid w:val="22E5075C"/>
    <w:rsid w:val="22EF39E7"/>
    <w:rsid w:val="23AE3211"/>
    <w:rsid w:val="23B60935"/>
    <w:rsid w:val="245503E6"/>
    <w:rsid w:val="24874408"/>
    <w:rsid w:val="24883CAD"/>
    <w:rsid w:val="24BF2D95"/>
    <w:rsid w:val="259D1AFE"/>
    <w:rsid w:val="25BA7F75"/>
    <w:rsid w:val="25DE44B5"/>
    <w:rsid w:val="264801BD"/>
    <w:rsid w:val="267537D8"/>
    <w:rsid w:val="26A67AF4"/>
    <w:rsid w:val="26D0702D"/>
    <w:rsid w:val="26F210C8"/>
    <w:rsid w:val="27933CD9"/>
    <w:rsid w:val="27B75BEB"/>
    <w:rsid w:val="27C052F3"/>
    <w:rsid w:val="28126BBF"/>
    <w:rsid w:val="281D45C6"/>
    <w:rsid w:val="28AF7842"/>
    <w:rsid w:val="292E08DE"/>
    <w:rsid w:val="29633CCD"/>
    <w:rsid w:val="29A46C7B"/>
    <w:rsid w:val="29E622D3"/>
    <w:rsid w:val="2A225DF1"/>
    <w:rsid w:val="2B394C5B"/>
    <w:rsid w:val="2B6A410E"/>
    <w:rsid w:val="2B90494A"/>
    <w:rsid w:val="2B9E5DD1"/>
    <w:rsid w:val="2C5524AE"/>
    <w:rsid w:val="2C761843"/>
    <w:rsid w:val="2D4E2C33"/>
    <w:rsid w:val="2D574004"/>
    <w:rsid w:val="2DC647A7"/>
    <w:rsid w:val="2E1B2848"/>
    <w:rsid w:val="2E1C17E4"/>
    <w:rsid w:val="2E342253"/>
    <w:rsid w:val="2FA05CF7"/>
    <w:rsid w:val="300D6BCC"/>
    <w:rsid w:val="30246158"/>
    <w:rsid w:val="30A001AC"/>
    <w:rsid w:val="31140310"/>
    <w:rsid w:val="316F64A7"/>
    <w:rsid w:val="318F1FBE"/>
    <w:rsid w:val="32264631"/>
    <w:rsid w:val="33230EA1"/>
    <w:rsid w:val="337A506E"/>
    <w:rsid w:val="339B7C29"/>
    <w:rsid w:val="345319C9"/>
    <w:rsid w:val="34806859"/>
    <w:rsid w:val="35B009D2"/>
    <w:rsid w:val="35CB384D"/>
    <w:rsid w:val="362D741D"/>
    <w:rsid w:val="367C1D24"/>
    <w:rsid w:val="37A7439E"/>
    <w:rsid w:val="37CA2BC5"/>
    <w:rsid w:val="37F03342"/>
    <w:rsid w:val="38544E55"/>
    <w:rsid w:val="38740160"/>
    <w:rsid w:val="39064FC8"/>
    <w:rsid w:val="39561BA0"/>
    <w:rsid w:val="39963E4D"/>
    <w:rsid w:val="399C3F24"/>
    <w:rsid w:val="3A2C48CD"/>
    <w:rsid w:val="3A3A169D"/>
    <w:rsid w:val="3A491A2A"/>
    <w:rsid w:val="3B0F7CBC"/>
    <w:rsid w:val="3B275F4B"/>
    <w:rsid w:val="3CE33B06"/>
    <w:rsid w:val="3D2363DE"/>
    <w:rsid w:val="3DA64A40"/>
    <w:rsid w:val="3E015FF2"/>
    <w:rsid w:val="3E4F32EC"/>
    <w:rsid w:val="3E5157CB"/>
    <w:rsid w:val="3E6D1EE0"/>
    <w:rsid w:val="3F3D1F51"/>
    <w:rsid w:val="3F5900B0"/>
    <w:rsid w:val="3F9B2476"/>
    <w:rsid w:val="40112738"/>
    <w:rsid w:val="40130CAF"/>
    <w:rsid w:val="40490B34"/>
    <w:rsid w:val="40C41559"/>
    <w:rsid w:val="420E65EA"/>
    <w:rsid w:val="421050D4"/>
    <w:rsid w:val="42424E2B"/>
    <w:rsid w:val="42A10AF8"/>
    <w:rsid w:val="42A9416B"/>
    <w:rsid w:val="42BF1B92"/>
    <w:rsid w:val="435E2995"/>
    <w:rsid w:val="4380190E"/>
    <w:rsid w:val="43966372"/>
    <w:rsid w:val="44EF43A5"/>
    <w:rsid w:val="45704109"/>
    <w:rsid w:val="46AE2EAA"/>
    <w:rsid w:val="46B06807"/>
    <w:rsid w:val="477060B2"/>
    <w:rsid w:val="47D32116"/>
    <w:rsid w:val="48116822"/>
    <w:rsid w:val="48832749"/>
    <w:rsid w:val="48CC36A0"/>
    <w:rsid w:val="493C6A78"/>
    <w:rsid w:val="49971A24"/>
    <w:rsid w:val="49AB2DE5"/>
    <w:rsid w:val="4A0D21C2"/>
    <w:rsid w:val="4A0E06F8"/>
    <w:rsid w:val="4A58343D"/>
    <w:rsid w:val="4B1A7BD1"/>
    <w:rsid w:val="4BAB6050"/>
    <w:rsid w:val="4BB038DA"/>
    <w:rsid w:val="4C73767A"/>
    <w:rsid w:val="4D030046"/>
    <w:rsid w:val="4D5A74CD"/>
    <w:rsid w:val="4D871781"/>
    <w:rsid w:val="4E037B64"/>
    <w:rsid w:val="4E802F1D"/>
    <w:rsid w:val="4EF042FA"/>
    <w:rsid w:val="4FAF448B"/>
    <w:rsid w:val="500F2318"/>
    <w:rsid w:val="5012408F"/>
    <w:rsid w:val="50417986"/>
    <w:rsid w:val="50C10961"/>
    <w:rsid w:val="50F73FA0"/>
    <w:rsid w:val="515E18DF"/>
    <w:rsid w:val="51765D9A"/>
    <w:rsid w:val="517D0941"/>
    <w:rsid w:val="521C7398"/>
    <w:rsid w:val="52446C35"/>
    <w:rsid w:val="527E16D3"/>
    <w:rsid w:val="528B2778"/>
    <w:rsid w:val="52C14E18"/>
    <w:rsid w:val="5316709E"/>
    <w:rsid w:val="534B7B17"/>
    <w:rsid w:val="54AB554F"/>
    <w:rsid w:val="54B57C0A"/>
    <w:rsid w:val="55FF6B96"/>
    <w:rsid w:val="56E07198"/>
    <w:rsid w:val="56E914B5"/>
    <w:rsid w:val="57221F02"/>
    <w:rsid w:val="57877110"/>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206DA5"/>
    <w:rsid w:val="5FE226DD"/>
    <w:rsid w:val="60C33852"/>
    <w:rsid w:val="61547E11"/>
    <w:rsid w:val="61852A60"/>
    <w:rsid w:val="62567581"/>
    <w:rsid w:val="631F4682"/>
    <w:rsid w:val="63D4721D"/>
    <w:rsid w:val="640673E3"/>
    <w:rsid w:val="640F17B5"/>
    <w:rsid w:val="64467711"/>
    <w:rsid w:val="648669A1"/>
    <w:rsid w:val="64E752C4"/>
    <w:rsid w:val="65DA0DD4"/>
    <w:rsid w:val="65F729C7"/>
    <w:rsid w:val="66434E23"/>
    <w:rsid w:val="66934D57"/>
    <w:rsid w:val="66A27154"/>
    <w:rsid w:val="66A80E51"/>
    <w:rsid w:val="677551D7"/>
    <w:rsid w:val="678A138D"/>
    <w:rsid w:val="67E1286C"/>
    <w:rsid w:val="67E31F8B"/>
    <w:rsid w:val="683B241F"/>
    <w:rsid w:val="68577F92"/>
    <w:rsid w:val="698D373B"/>
    <w:rsid w:val="69A96191"/>
    <w:rsid w:val="69FD1FFD"/>
    <w:rsid w:val="6A2B5BCA"/>
    <w:rsid w:val="6AA75C6E"/>
    <w:rsid w:val="6AC7223E"/>
    <w:rsid w:val="6BB31049"/>
    <w:rsid w:val="6BBB33D4"/>
    <w:rsid w:val="6BF15785"/>
    <w:rsid w:val="6C1442B0"/>
    <w:rsid w:val="6CC15691"/>
    <w:rsid w:val="6CF430F2"/>
    <w:rsid w:val="6D3C0639"/>
    <w:rsid w:val="6DB96BEC"/>
    <w:rsid w:val="6E3B72E7"/>
    <w:rsid w:val="6E3C6E41"/>
    <w:rsid w:val="6EF81CA0"/>
    <w:rsid w:val="6F321DFD"/>
    <w:rsid w:val="6F433E0D"/>
    <w:rsid w:val="6F575DD1"/>
    <w:rsid w:val="70155795"/>
    <w:rsid w:val="702E6762"/>
    <w:rsid w:val="70314EAA"/>
    <w:rsid w:val="7044602E"/>
    <w:rsid w:val="706B3AE0"/>
    <w:rsid w:val="70A15D8A"/>
    <w:rsid w:val="71270FB3"/>
    <w:rsid w:val="71E07B02"/>
    <w:rsid w:val="71F66174"/>
    <w:rsid w:val="72347A3D"/>
    <w:rsid w:val="72C34258"/>
    <w:rsid w:val="73CE218C"/>
    <w:rsid w:val="73E51DB1"/>
    <w:rsid w:val="74396181"/>
    <w:rsid w:val="74AA472D"/>
    <w:rsid w:val="75372E62"/>
    <w:rsid w:val="757F36C5"/>
    <w:rsid w:val="75D36CB1"/>
    <w:rsid w:val="768165E1"/>
    <w:rsid w:val="77987327"/>
    <w:rsid w:val="779C230C"/>
    <w:rsid w:val="77C574AC"/>
    <w:rsid w:val="77DD1C6A"/>
    <w:rsid w:val="78F5016F"/>
    <w:rsid w:val="793A002E"/>
    <w:rsid w:val="793A6280"/>
    <w:rsid w:val="79901AFC"/>
    <w:rsid w:val="79DA1D09"/>
    <w:rsid w:val="7A182199"/>
    <w:rsid w:val="7A31327F"/>
    <w:rsid w:val="7A50273A"/>
    <w:rsid w:val="7A644061"/>
    <w:rsid w:val="7AE1770B"/>
    <w:rsid w:val="7B114A31"/>
    <w:rsid w:val="7B346C80"/>
    <w:rsid w:val="7BC6204D"/>
    <w:rsid w:val="7CCE7826"/>
    <w:rsid w:val="7D0F483D"/>
    <w:rsid w:val="7E004848"/>
    <w:rsid w:val="7E37366F"/>
    <w:rsid w:val="7ED656B9"/>
    <w:rsid w:val="7F29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4367</Words>
  <Characters>4515</Characters>
  <Lines>0</Lines>
  <Paragraphs>0</Paragraphs>
  <TotalTime>11</TotalTime>
  <ScaleCrop>false</ScaleCrop>
  <LinksUpToDate>false</LinksUpToDate>
  <CharactersWithSpaces>5245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2026-06-10T02:24:21Z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95A886AF7F8B4EF88D89FD9446246385_13</vt:lpwstr>
  </property>
  <property fmtid="{D5CDD505-2E9C-101B-9397-08002B2CF9AE}" pid="4" name="KSOTemplateDocerSaveRecord">
    <vt:lpwstr>eyJoZGlkIjoiODQxOGI3YmU3NTI5MzUwZjkwOWVjODQ3NGEwZTRmNzciLCJ1c2VySWQiOiI2OTk3Mjg4NzkifQ==</vt:lpwstr>
  </property>
</Properties>
</file>