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出入口管理系统设备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E2C0EE2">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5A3C51B">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8449EE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6F9DF1C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p w14:paraId="13DE0EF1">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1A8E9C4B">
      <w:pPr>
        <w:rPr>
          <w:rFonts w:hint="eastAsia"/>
          <w:lang w:val="en-US" w:eastAsia="zh-CN"/>
        </w:rPr>
      </w:pPr>
    </w:p>
    <w:p w14:paraId="0A86F6B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893195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w:t>
      </w:r>
      <w:r>
        <w:rPr>
          <w:rFonts w:hint="eastAsia" w:eastAsia="宋体"/>
          <w:u w:val="none"/>
          <w:lang w:val="en-US" w:eastAsia="zh-CN"/>
        </w:rPr>
        <w:t>称）承诺：所投出入口管理系统设备必须接入小区</w:t>
      </w:r>
      <w:r>
        <w:rPr>
          <w:rFonts w:hint="eastAsia"/>
          <w:u w:val="none"/>
          <w:lang w:val="en-US" w:eastAsia="zh-CN"/>
        </w:rPr>
        <w:t>海康</w:t>
      </w:r>
      <w:r>
        <w:rPr>
          <w:rFonts w:hint="eastAsia" w:eastAsia="宋体"/>
          <w:u w:val="none"/>
          <w:lang w:val="en-US" w:eastAsia="zh-CN"/>
        </w:rPr>
        <w:t>智慧管理平台，如产生任何对接的费用由我方承担。</w:t>
      </w:r>
    </w:p>
    <w:p w14:paraId="3C1B828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C04D28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6A77B24">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5E4BFCAF">
      <w:pPr>
        <w:ind w:firstLine="5280" w:firstLineChars="220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567"/>
        <w:gridCol w:w="675"/>
        <w:gridCol w:w="4380"/>
        <w:gridCol w:w="739"/>
        <w:gridCol w:w="874"/>
        <w:gridCol w:w="975"/>
        <w:gridCol w:w="652"/>
        <w:gridCol w:w="713"/>
        <w:gridCol w:w="915"/>
        <w:gridCol w:w="990"/>
        <w:gridCol w:w="1391"/>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2"/>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32"/>
                <w:szCs w:val="32"/>
                <w:u w:val="none"/>
              </w:rPr>
            </w:pPr>
            <w:r>
              <w:rPr>
                <w:rFonts w:hint="eastAsia" w:asciiTheme="minorEastAsia" w:hAnsiTheme="minorEastAsia" w:eastAsiaTheme="minorEastAsia" w:cstheme="minorEastAsia"/>
                <w:i w:val="0"/>
                <w:iCs w:val="0"/>
                <w:color w:val="auto"/>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询价单位</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江苏省淮安市保安服务有限公司</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报价单位</w:t>
            </w:r>
          </w:p>
        </w:tc>
        <w:tc>
          <w:tcPr>
            <w:tcW w:w="4661"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联系人</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法定代表人或授权委托人</w:t>
            </w:r>
          </w:p>
        </w:tc>
        <w:tc>
          <w:tcPr>
            <w:tcW w:w="4661"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电话</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电话</w:t>
            </w:r>
          </w:p>
        </w:tc>
        <w:tc>
          <w:tcPr>
            <w:tcW w:w="4661"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邮箱</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single"/>
              </w:rPr>
            </w:pPr>
            <w:r>
              <w:rPr>
                <w:rFonts w:hint="eastAsia" w:asciiTheme="minorEastAsia" w:hAnsiTheme="minorEastAsia" w:eastAsiaTheme="minorEastAsia" w:cstheme="minorEastAsia"/>
                <w:i w:val="0"/>
                <w:iCs w:val="0"/>
                <w:color w:val="auto"/>
                <w:kern w:val="0"/>
                <w:sz w:val="24"/>
                <w:szCs w:val="24"/>
                <w:u w:val="single"/>
                <w:lang w:val="en-US" w:eastAsia="zh-CN" w:bidi="ar"/>
              </w:rPr>
              <w:t>HABAccb@163.com</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邮箱</w:t>
            </w:r>
          </w:p>
        </w:tc>
        <w:tc>
          <w:tcPr>
            <w:tcW w:w="4661"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报价日期</w:t>
            </w:r>
          </w:p>
        </w:tc>
        <w:tc>
          <w:tcPr>
            <w:tcW w:w="4661"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2"/>
                <w:szCs w:val="22"/>
                <w:u w:val="none"/>
              </w:rPr>
            </w:pPr>
            <w:r>
              <w:rPr>
                <w:rFonts w:hint="eastAsia" w:asciiTheme="minorEastAsia" w:hAnsiTheme="minorEastAsia" w:eastAsiaTheme="minorEastAsia" w:cstheme="minorEastAsia"/>
                <w:i w:val="0"/>
                <w:iCs w:val="0"/>
                <w:color w:val="auto"/>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序号</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项目名称</w:t>
            </w:r>
          </w:p>
        </w:tc>
        <w:tc>
          <w:tcPr>
            <w:tcW w:w="57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技术参数</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单位</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数量</w:t>
            </w:r>
          </w:p>
        </w:tc>
        <w:tc>
          <w:tcPr>
            <w:tcW w:w="13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品牌型号</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金额（元）</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57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合价</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车牌识别控制主机</w:t>
            </w:r>
          </w:p>
        </w:tc>
        <w:tc>
          <w:tcPr>
            <w:tcW w:w="579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1.名称:车牌识别控制主机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2.规格:LED抓拍显示一体机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高清晰：400万像素高清摄像机，最大分辨率可达2688*1520，帧率高达25fps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集成度高：集摄像机、显示屏、补光灯、镜头、喇叭功放于一体，有效节省施工布线成本</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支持LED显示屏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内置高亮LED灯，白光/红外二合一，智能环保补光技术，满足不同场景需求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支持电动变焦镜头，便于调试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识别车牌种类多：支持识别符合GA 36《中华人民共和国机动车号牌》标准的车牌类型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支持中国大陆，中国香港，中国澳门车牌识别</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支持车型识别，车标识别，车身颜色识别，子品牌检测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授权名单控制：支持授权名单的导入及对比，可直接联动道闸开闸，支持脱机运行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支持智能化视频检测抓拍，实现机动车精准抓拍识别，准确率99.9%以上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支持跟车不落杆，实现快速通行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机箱表面采用抗紫外线静电喷塑工艺，不起皮，不褪色，防尘防水等级符合室外设备IP54级别要求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一体化结构设计，布线简单，调试方便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支持玻璃加热功能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传感器类型：1/3" Progressive Scan CMOS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最低照度：彩色0.04lx(F2.0,AGC ON)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黑白0.02lx(F2.0,AGC ON)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快门：1/25秒至1/40,000秒</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镜头：3.1~6mm电动变焦镜头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自动光圈：DC驱动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数字降噪：3D数字降噪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视频压缩标准：H.264/H.265/MJPEG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视频压缩码率：32 Kbps~16M bps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图像格式：JPEG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最大图像尺寸：2688×1520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帧率：25fps(2688×1520)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图像设置：饱和度,亮度,对比度,白平衡,增益,3D降噪通过软件可调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通用功能：心跳,密码保护,NTP校时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图片格式：采用JPEG编码,图片质量可设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智能识别：车牌识别、车型识别、车标识别、车辆子品牌，车身颜色识别</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补光灯控制：补光灯自动光控、时控可选；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通讯接口：1个RJ45 10M/100M 自适应以太网口 ，1个RS-232接口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补光灯：内置9颗LED补光灯</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w:t>
            </w:r>
            <w:r>
              <w:rPr>
                <w:rFonts w:hint="default" w:ascii="宋体" w:hAnsi="宋体" w:eastAsia="宋体" w:cs="宋体"/>
                <w:i w:val="0"/>
                <w:iCs w:val="0"/>
                <w:color w:val="auto"/>
                <w:kern w:val="0"/>
                <w:sz w:val="24"/>
                <w:szCs w:val="24"/>
                <w:u w:val="none"/>
                <w:lang w:val="en-US" w:eastAsia="zh-CN" w:bidi="ar"/>
              </w:rPr>
              <w:t>DS-TMC403-ES(LED)</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5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5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防砸雷达</w:t>
            </w:r>
          </w:p>
        </w:tc>
        <w:tc>
          <w:tcPr>
            <w:tcW w:w="579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4"/>
                <w:szCs w:val="24"/>
                <w:u w:val="none"/>
                <w:lang w:val="en-US" w:eastAsia="zh-CN" w:bidi="ar"/>
              </w:rPr>
              <w:t>1.名称:防砸雷达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2.规格:采用79GHz MMIC技术，分辨率更高，检测更稳定；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雷达检测距离可调，检测宽度可调，操作方便，通用性强；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无需学习背景，适应更多复杂现场环境；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提供RS485串口或者蓝牙通讯功能，蓝牙版本配备手机APP，可对雷达进行在线调试、固件升级，操作更方便；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安装与维护方便，所需人力少，工时短。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采用LED灯指示雷达工作状态，状态更直观。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自动记录雷达的配置参数，断电重启后可恢复至之前的工作状态；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环境适应性强，检测性能不受电磁干扰、光照、灰尘、雨雪等外界环境影响。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功耗：＜3W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工作电压：9~32VDC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额定电流：＜0.25A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使用环境温度：-40~+85°C</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海康DS-TMG034(防砸)(国内标配)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auto"/>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车辆栅栏式道闸</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color w:val="auto"/>
                <w:sz w:val="24"/>
                <w:szCs w:val="21"/>
              </w:rPr>
            </w:pPr>
            <w:r>
              <w:rPr>
                <w:rFonts w:hint="eastAsia" w:ascii="宋体" w:hAnsi="宋体" w:eastAsia="宋体" w:cs="宋体"/>
                <w:i w:val="0"/>
                <w:iCs w:val="0"/>
                <w:color w:val="auto"/>
                <w:kern w:val="0"/>
                <w:sz w:val="24"/>
                <w:szCs w:val="24"/>
                <w:u w:val="none"/>
                <w:lang w:val="en-US" w:eastAsia="zh-CN" w:bidi="ar"/>
              </w:rPr>
              <w:t>直流广告道闸(小机芯)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叶片轴承传动翻转，灵活可靠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主梁异形结构，壁厚加强，抗风等级极高</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导光版灯箱，画面效果均匀</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杆件组合包装，便于安装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侧方离合，手摇方便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压力电波，安全可靠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具备多种接口，您可接入红外线、地感及收费系统；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数码管显示，内容丰富;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编码器定位方式，定位精确，反应迅速，调试简便；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栅栏转页可做广告画面，箱体门也可做广告画面</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配手摇柄，停电或故障时，实现手动开启/关闭闸杆；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延时自动关门，配合地感或红外等外接保护装置，实现无人值守;</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支持断电抬杆功能（单独下电池组件：366002824 【电池单独运输】）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注：TMG4XG-SX(120W)  区分左右机箱</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尺寸(mm)：TMG40G-SL道闸：500*331*1200mm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工作电压：220V± 10%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电机功率：TMG40G-SX:120W（3.2-4.2米 分左右）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重量：毛重：130KG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海康DS-TMG40G-S(R)(L)(4.2米)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sz w:val="24"/>
                <w:szCs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车牌识别控制主机</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1.名称:车牌识别控制主机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2.规格:LED抓拍显示一体机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高清晰：400万像素高清摄像机，最大分辨率可达2688*1520，帧率高达25fps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集成度高：集摄像机、显示屏、补光灯、镜头、喇叭功放于一体，有效节省施工布线成本</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支持LED显示屏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内置高亮LED灯，白光/红外二合一，智能环保补光技术，满足不同场景需求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支持电动变焦镜头，便于调试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识别车牌种类多：支持识别符合GA 36《中华人民共和国机动车号牌》标准的车牌类型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支持中国大陆，中国香港，中国澳门车牌识别</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支持车型识别，车标识别，车身颜色识别，子品牌检测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授权名单控制：支持授权名单的导入及对比，可直接联动道闸开闸，支持脱机运行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支持智能化视频检测抓拍，实现机动车精准抓拍识别，准确率99.9%以上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支持跟车不落杆，实现快速通行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机箱表面采用抗紫外线静电喷塑工艺，不起皮，不褪色，防尘防水等级符合室外设备IP54级别要求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一体化结构设计，布线简单，调试方便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支持玻璃加热功能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传感器类型：1/3" Progressive Scan CMOS</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最低照度：彩色0.04lx(F2.0,AGC ON)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黑白0.02lx(F2.0,AGC ON)</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快门：1/25秒至1/40,000秒</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镜头：3.1~6mm电动变焦镜头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自动光圈：DC驱动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数字降噪：3D数字降噪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视频压缩标准：H.264/H.265/MJPEG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视频压缩码率：32 Kbps~16M bps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图像格式：JPEG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最大图像尺寸：2688×1520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帧率：25fps(2688×1520)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图像设置：饱和度,亮度,对比度,白平衡,增益,3D降噪通过软件可调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通用功能：心跳,密码保护,NTP校时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图片格式：采用JPEG编码,图片质量可设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智能识别：车牌识别、车型识别、车标识别、车辆子品牌，车身颜色识别</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补光灯控制：补光灯自动光控、时控可选；</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海康DS-TMC403-ES(LED)</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sz w:val="24"/>
                <w:szCs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防砸雷达</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1.名称:防砸雷达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2.规格:采用79GHz MMIC技术，分辨率更高，检测更稳定；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雷达检测距离可调，检测宽度可调，操作方便，通用性强；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无需学习背景，适应更多复杂现场环境；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提供RS485串口或者蓝牙通讯功能，蓝牙版本配备手机APP，可对雷达进行在线调试、固件升级，操作更方便；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安装与维护方便，所需人力少，工时短。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采用LED灯指示雷达工作状态，状态更直观。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自动记录雷达的配置参数，断电重启后可恢复至之前的工作状态；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环境适应性强，检测性能不受电磁干扰、光照、灰尘、雨雪等外界环境影响。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功耗：＜3W</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工作电压：9~32VDC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额定电流：＜0.25A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使用环境温度：-40~+85°C</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海康DS-TMG034(防砸)(国内标配)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sz w:val="24"/>
                <w:szCs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59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车辆栅栏式道闸</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D7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1.名称:车辆栅栏式道闸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2.规格:采用一体化机芯，平行齿轮减速连杆传动，传动平稳、效率高</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侧贴式安装，安装方便、结构紧凑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齿轮碳钢材质，淬火处理工艺，抗磨损、抗冲击，寿命长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直流无刷电机、输出力矩大、体积小，噪音低，精确智能控制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支持遇阻反弹，开优先保护功能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直流变频控制，快速抬杆慢速落杆，运行平稳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事件日志记录、方便操作追踪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支持红外，地感，雷达等多种防砸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支持故障码数码管检测，日志记录、丰富状态指示，故障码数码管显示、问题定位快捷、方便维护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手动开闸功能：停电时可转动手轮，使道闸保持开状态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栅栏杆最外含支撑脚（带缓冲，50CM可调，安装须着地可提升抗风能力）</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开/关到位输出接口：各1组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开/关/停控制信号接口：各1组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红外/地感防砸信号接口：1组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485控制接口：1组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道闸系列：四系列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工作温度和湿度：-30~70 °C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尺寸(mm)：370*262*1060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防护等级：IP54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工作电压：AC220V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电机类型：直流无刷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运行噪声：60分贝</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电机功率：250W</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A5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海康DS-TMG40G-S(R)(L)(4.2米)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color w:val="auto"/>
                <w:sz w:val="24"/>
                <w:szCs w:val="21"/>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0BEF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11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8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停车终端服务器</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05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1.名称:停车终端服务器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2.规格:嵌入式平台：ARM  嵌入式处理器，BS/CS双架构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安全性高：防网络病毒，防U盘病毒。安全的人机接口，防丢失数据，防串改数据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稳定性高：嵌入式ARM系统，底层UBOOT、内核、系统自有可控，能保证7*24h不间断稳定运行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视频录像：支持录像存储，支持录像计划，保存进出车完整数据链，节省录像服务器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适应性强：全封闭结构，无风扇散热设计，能在-30~70°的工作温度下正常使用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多网口设计：内网8个网口，外网1个千兆网口，支持大量网络设备接入，节省交换机成本</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移动化配置：支持手机扫二维码，WIFI连接设备并调试设备，简单方便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远程访问：支持互联网远程访问设备，远程处理异常，远程下载日志，远程升级设备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本地显示控制：支持VGA/HDMI接显示器，标准鼠标键盘输入控制，即插即用，方便快捷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手机扫码配置：支持现场手机扫码配置设备，调试轻便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异常处理：支付通道异常切换，网络异常切换4G；终端1对1热备份，数据支持RAID1备份(可选)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标准的SDK接口：标准的SDK协议，支持对接云平台，对外扩展性强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级联管理：单台管理4个车道，最多支持5台设备级联，可管理20个车道的停车场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存储功能：128G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音频输入：3.5MM标准输入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音频输出：3.5MM标准输出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E2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02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FBF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海康DS-TPE310-CS(128G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A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4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3F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auto"/>
                <w:sz w:val="24"/>
                <w:szCs w:val="24"/>
                <w:u w:val="none"/>
              </w:rPr>
            </w:pPr>
          </w:p>
        </w:tc>
      </w:tr>
      <w:tr w14:paraId="66B3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D6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9E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人脸识别一体机（人行摆闸立柱安装）</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E7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color w:val="auto"/>
              </w:rPr>
            </w:pPr>
            <w:r>
              <w:rPr>
                <w:rFonts w:hint="eastAsia" w:ascii="宋体" w:hAnsi="宋体" w:eastAsia="宋体" w:cs="宋体"/>
                <w:i w:val="0"/>
                <w:iCs w:val="0"/>
                <w:color w:val="auto"/>
                <w:kern w:val="0"/>
                <w:sz w:val="24"/>
                <w:szCs w:val="24"/>
                <w:u w:val="none"/>
                <w:lang w:val="en-US" w:eastAsia="zh-CN" w:bidi="ar"/>
              </w:rPr>
              <w:t>1.名称:人脸识别一体机（人行摆闸立柱安装）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2.规格:【功能介绍】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可视对讲：支持和云平台、客户端、室内机、管理机进行可视对讲；支持配置一键呼叫室内机或管理机；支持副门口机或围墙机模式；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视频预览：支持管理中心远程视频预览，支持接入NVR设备，实现视频录像，编码格式H.264；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口罩检测：支持口罩检测模式，可配置提醒戴口罩模式、强制戴口罩模式，关联门禁控制；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安全帽检测：支持工地安全帽检测功能，可配置提醒安全帽模式、强制戴安全帽模式，关联门禁控制；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识别界面可配：识别主界面的“呼叫”、“密码”的按键图标可分别配置是否显示；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认证结果显示可配：支持认证成功界面的“照片”、“姓名”、“工号”信息可配置是否显示；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认证结果语音自定义：集成文字转语音（TTS）和语音合成技术，认证成功和认证失败的语音可以分别配置4个时间段进行自定义播报，同时认证成功的语音可叠加播报姓名；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工作模式：支持广告模式、简洁模式主题模式；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外接安全模块：支持通过RS485接入门控安全模块，防止主机被恶意破坏的情况下，门锁不被打开；</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外接读卡器：支持通过RS485或韦根（W26/W34）接口外接1个读卡器，同时可实现单门反潜回功能；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读卡器模式：支持通过RS485或韦根（W26/W34）接入门禁控制器，作为读卡器模式使用；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门禁计划模板：支持255组计划模板管理，128个周计划，1024个假日计划；支持常开、常闭时段管理；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组合认证：刷卡+密码、刷卡+人脸、人脸+密码等组合认证方式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多重认证：支持多个人员认证（人脸、刷卡等）通过后才开门；</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报警功能：设备支持防拆报警、门被外力开起报警、胁迫卡和胁迫密码报警等；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事件上传：在线状态下将设备认证结果信息及联动抓拍照片实时上传给平台，支持断网续传功能，设备离线状态下产生事件在与平台连接后会重新上传；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单机使用：设备可进行本地管理，支持本地注册人脸、查询、设置、管理设备参数等；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WEB管理：支持Web端管理，可进行人员管理、参数配置、事件查询、系统维护等操作。</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37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8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85F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海康DS-K1T670M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0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7C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A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4F8D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FB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5E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人脸识别组件（含立柱安装 防雨罩）</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54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4"/>
                <w:szCs w:val="24"/>
                <w:u w:val="none"/>
                <w:lang w:val="en-US" w:eastAsia="zh-CN" w:bidi="ar"/>
              </w:rPr>
              <w:t>1.名称:人脸识别组件（含立柱安装 防雨罩）</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2.规格:1、铝合金喷塑材质，从底部出线方式，避免飞线影响美观。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2、可稳定放置于地面，如需加固，可通过自带的膨胀螺丝固定</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3、支架内置电源线及信号延长线，不带开关电源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4、角度可调：可现场调节明眸设备15°仰角或垂直角度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32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E4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897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海康DS-KAB673-ZU</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5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36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22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2A61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A6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56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开门按钮（防水型，含基础、安装立柱）</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CC0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4"/>
                <w:szCs w:val="24"/>
                <w:u w:val="none"/>
                <w:lang w:val="en-US" w:eastAsia="zh-CN" w:bidi="ar"/>
              </w:rPr>
              <w:t>1.名称:开门按钮（防水型，含基础、安装立柱）</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2.规格:外壳材料：不锈钢外壳；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电气性能：最大耐用电流3A 36VDC；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耐用测试：五十万次老化测试合格；</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接点输出：NO/COM接点；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工作电压：DC12V；</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工作温度：-30℃～+60℃；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工作湿度：≤95%；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净重：0.3kg</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D7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40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F50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海康DS-K7P15B-W</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3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3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84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5368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37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D0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人员通道</w:t>
            </w:r>
          </w:p>
        </w:tc>
        <w:tc>
          <w:tcPr>
            <w:tcW w:w="5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61E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4"/>
                <w:szCs w:val="24"/>
                <w:u w:val="none"/>
                <w:lang w:val="en-US" w:eastAsia="zh-CN" w:bidi="ar"/>
              </w:rPr>
              <w:t>1.名称:人员通道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2.规格:技术参数：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通行模式：设备支持进出方向通行状态（受控、常开、常闭、感应、无障碍）的灵活配置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交叉通行：一方通行后在未关门前对向认证通过，门翼保持不动，由对向人员通行结束门翼再关闭；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自动复位：设备具有自动复位功能，开门后在规定的时间内未通行，系统将自动取消用户的本次通行的权限，可设定通行时间；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记忆模式：设备支持记忆模式，可实现连续快速通行；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消防联动：设备具有消防联动接口，当消防信号触发时，门翼自动打开，快速引导人员疏散；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断电通行：设备可选配超级电容，断电时门翼自动打开，人员可自由通行，防止恐慌；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激光雷达防夹：设备具备激光雷达防夹功能，在门翼复位的过程中检测到激光雷达触发时电机自动停止工作,防止人员受伤；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防冲撞：设备具备防冲撞功能，在没有接收到开门信号时，若受到不超过40N•m的冲击力，门翼保持锁止状态；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人数统计：设备支持人数统计功能配置，可实时获取设备进出方向总人数；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人机互动：设备支持通道指示灯、门翼灯，支持认证结果语音自定义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管控模式：设备可根据实际管控需求设置警戒模式与宽松模式，默认为宽松模式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远程控制：设备可选配遥控器或遥控平板支持远程控制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机械防夹：设备具备防夹功能，在门翼复位的过程中遇阻时电机自动停止工作,防止人员受伤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语音控制：具备文字转语音（TTS）和语音合成技术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WEB管理：支持手机Web（手机通过WIFI连接设备）与PC Web管理，可进行人员管理、参数配置、事件查询、系统维护等操作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NFC触碰登录：支持安卓手机开启NFC后触碰指定位置，实现快速登录设备，实现手机Web管理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使用环境：室内外</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电机类型：无刷直流伺服电机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设备容量：支持50万人员，50万卡，50万事件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认证方式：选配读卡器;明眸;内嵌式二维码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激光雷达：6个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产品尺寸：1200mm×218mm×1023mm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通道宽度：550-950mm,以50mm为一档;1000-1400mm,以100mm为一档;亚克力:550~1100mm;不锈钢:550~1400mm;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门翼间隙：通道宽度950为89.5mm;通道宽度1000为53.5mm;其它均为63.5mm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箱体材质：SUS304拉丝不锈钢,顶盖厚度1.2mm,箱体厚度1.0mm,侧筒为工程塑料</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门翼材质：亚克力;不锈钢;其中亚克力厚度8mm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通行速率：20-60人/分钟，受人员情况和通行模式影响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电源电压：AC 200-240 V，50/60 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整机功耗：单通道待机35W，运行65W，最大150W（不含明眸）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工作温度：-20℃-+70℃;温度低于-20℃时增配加热模块可支持到-40℃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工作湿度：0%至95%（不凝聚成水滴）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产品重量：裸机约37Kg,带包装约48Kg</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C1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E9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83E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海康DS-K3B423S</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C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D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0E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23A8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89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i w:val="0"/>
                <w:iCs w:val="0"/>
                <w:color w:val="auto"/>
                <w:sz w:val="21"/>
                <w:szCs w:val="21"/>
                <w:u w:val="none"/>
                <w:lang w:val="en-US" w:eastAsia="zh-CN"/>
              </w:rPr>
              <w:t>12</w:t>
            </w:r>
          </w:p>
        </w:tc>
        <w:tc>
          <w:tcPr>
            <w:tcW w:w="105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AC3B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合计：</w:t>
            </w:r>
            <w:r>
              <w:rPr>
                <w:rFonts w:hint="eastAsia" w:asciiTheme="minorEastAsia" w:hAnsiTheme="minorEastAsia" w:eastAsiaTheme="minorEastAsia" w:cstheme="minorEastAsia"/>
                <w:i w:val="0"/>
                <w:iCs w:val="0"/>
                <w:color w:val="auto"/>
                <w:kern w:val="0"/>
                <w:sz w:val="24"/>
                <w:szCs w:val="24"/>
                <w:u w:val="single"/>
                <w:lang w:val="en-US" w:eastAsia="zh-CN" w:bidi="ar"/>
              </w:rPr>
              <w:t xml:space="preserve">           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2F6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auto"/>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480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auto"/>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B3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是否接受保证金（控制价的2%）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填“是/否”</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履约保证金</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（成交金额的10%）</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质保期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2年</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税点</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color w:val="auto"/>
                <w:kern w:val="0"/>
                <w:sz w:val="24"/>
                <w:szCs w:val="24"/>
                <w:u w:val="none"/>
                <w:lang w:val="en-US" w:eastAsia="zh-CN" w:bidi="ar"/>
              </w:rPr>
              <w:t>13%</w:t>
            </w:r>
            <w:bookmarkStart w:id="0" w:name="_GoBack"/>
            <w:bookmarkEnd w:id="0"/>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 xml:space="preserve">供货期：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15天</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付款方式</w:t>
            </w:r>
          </w:p>
        </w:tc>
        <w:tc>
          <w:tcPr>
            <w:tcW w:w="40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合同签订后个7日内支付30%预付款，货到验收合格后3个月内付清其余的货款。</w:t>
            </w:r>
          </w:p>
        </w:tc>
      </w:tr>
    </w:tbl>
    <w:p w14:paraId="6EA1D256">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6BF61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2A142B"/>
    <w:rsid w:val="06E65ABA"/>
    <w:rsid w:val="07CC21FA"/>
    <w:rsid w:val="08193505"/>
    <w:rsid w:val="082F30B8"/>
    <w:rsid w:val="0886108C"/>
    <w:rsid w:val="09DB488A"/>
    <w:rsid w:val="09FE7C7D"/>
    <w:rsid w:val="0A443009"/>
    <w:rsid w:val="0A831766"/>
    <w:rsid w:val="0BB43C70"/>
    <w:rsid w:val="0BC2638F"/>
    <w:rsid w:val="0BDC6B78"/>
    <w:rsid w:val="0C882A07"/>
    <w:rsid w:val="0CA23B03"/>
    <w:rsid w:val="0CD142BE"/>
    <w:rsid w:val="0D681C76"/>
    <w:rsid w:val="0D78696A"/>
    <w:rsid w:val="0DBF30C4"/>
    <w:rsid w:val="0DD96789"/>
    <w:rsid w:val="0F0F7410"/>
    <w:rsid w:val="100159F1"/>
    <w:rsid w:val="10275305"/>
    <w:rsid w:val="10941E2C"/>
    <w:rsid w:val="1106690F"/>
    <w:rsid w:val="115C3F6A"/>
    <w:rsid w:val="11797AA9"/>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3F18CB"/>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846321"/>
    <w:rsid w:val="28C17575"/>
    <w:rsid w:val="28D95914"/>
    <w:rsid w:val="292E08DE"/>
    <w:rsid w:val="29E622D3"/>
    <w:rsid w:val="2A063491"/>
    <w:rsid w:val="2A225DF1"/>
    <w:rsid w:val="2B394C5B"/>
    <w:rsid w:val="2B6A410E"/>
    <w:rsid w:val="2B9E5DD1"/>
    <w:rsid w:val="2C5705C8"/>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5319C9"/>
    <w:rsid w:val="34806859"/>
    <w:rsid w:val="362D741D"/>
    <w:rsid w:val="37A7439E"/>
    <w:rsid w:val="37CA2BC5"/>
    <w:rsid w:val="37F03342"/>
    <w:rsid w:val="38544E55"/>
    <w:rsid w:val="39064FC8"/>
    <w:rsid w:val="39273334"/>
    <w:rsid w:val="39963E4D"/>
    <w:rsid w:val="3A2C48CD"/>
    <w:rsid w:val="3A491A2A"/>
    <w:rsid w:val="3B0F7CBC"/>
    <w:rsid w:val="3B275F4B"/>
    <w:rsid w:val="3D2363DE"/>
    <w:rsid w:val="3DA64A40"/>
    <w:rsid w:val="3E015FF2"/>
    <w:rsid w:val="3E4F32EC"/>
    <w:rsid w:val="3E5157CB"/>
    <w:rsid w:val="3E6D1EE0"/>
    <w:rsid w:val="40130CAF"/>
    <w:rsid w:val="40490B34"/>
    <w:rsid w:val="411201B7"/>
    <w:rsid w:val="420E65EA"/>
    <w:rsid w:val="421050D4"/>
    <w:rsid w:val="42A9416B"/>
    <w:rsid w:val="42BF1B92"/>
    <w:rsid w:val="435E2995"/>
    <w:rsid w:val="43730AF6"/>
    <w:rsid w:val="4380190E"/>
    <w:rsid w:val="43966372"/>
    <w:rsid w:val="44EF43A5"/>
    <w:rsid w:val="46AE2EAA"/>
    <w:rsid w:val="477060B2"/>
    <w:rsid w:val="47D32116"/>
    <w:rsid w:val="48116822"/>
    <w:rsid w:val="48832749"/>
    <w:rsid w:val="488E0DCA"/>
    <w:rsid w:val="493C6A78"/>
    <w:rsid w:val="49AB2DE5"/>
    <w:rsid w:val="4A0D21C2"/>
    <w:rsid w:val="4A0E06F8"/>
    <w:rsid w:val="4A835802"/>
    <w:rsid w:val="4B1A7BD1"/>
    <w:rsid w:val="4BB038DA"/>
    <w:rsid w:val="4C73767A"/>
    <w:rsid w:val="4D030046"/>
    <w:rsid w:val="4D360144"/>
    <w:rsid w:val="4D871781"/>
    <w:rsid w:val="4E802F1D"/>
    <w:rsid w:val="4EF042FA"/>
    <w:rsid w:val="4FAF448B"/>
    <w:rsid w:val="50417986"/>
    <w:rsid w:val="50C10961"/>
    <w:rsid w:val="50F73FA0"/>
    <w:rsid w:val="515E18DF"/>
    <w:rsid w:val="51765D9A"/>
    <w:rsid w:val="517D0941"/>
    <w:rsid w:val="521C7398"/>
    <w:rsid w:val="52416EAD"/>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6E397E"/>
    <w:rsid w:val="698D373B"/>
    <w:rsid w:val="69FD1FFD"/>
    <w:rsid w:val="6A2B5BCA"/>
    <w:rsid w:val="6A3C56F4"/>
    <w:rsid w:val="6AA75C6E"/>
    <w:rsid w:val="6BB31049"/>
    <w:rsid w:val="6BD61FBC"/>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A840EA"/>
    <w:rsid w:val="73CE218C"/>
    <w:rsid w:val="74312486"/>
    <w:rsid w:val="74396181"/>
    <w:rsid w:val="74AA472D"/>
    <w:rsid w:val="768165E1"/>
    <w:rsid w:val="77994E49"/>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8982</Words>
  <Characters>10010</Characters>
  <Lines>0</Lines>
  <Paragraphs>0</Paragraphs>
  <TotalTime>0</TotalTime>
  <ScaleCrop>false</ScaleCrop>
  <LinksUpToDate>false</LinksUpToDate>
  <CharactersWithSpaces>10798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2026-05-18T08:15:33Z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B9FDB1A318E343A59FBAB0B34FB00962_13</vt:lpwstr>
  </property>
  <property fmtid="{D5CDD505-2E9C-101B-9397-08002B2CF9AE}" pid="4" name="KSOTemplateDocerSaveRecord">
    <vt:lpwstr>eyJoZGlkIjoiYjY0ZTAzOGFkMDVjYTAyNGRiZmEzMWIyNTAyNzgyNTIiLCJ1c2VySWQiOiI2OTk3Mjg4NzkifQ==</vt:lpwstr>
  </property>
</Properties>
</file>