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视频会议相关设备</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5CA7F71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2F9FFA40">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7371ED4D">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5F7B6DEF">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2.4、原厂授权（加盖公章）</w:t>
      </w:r>
    </w:p>
    <w:p w14:paraId="376E5F69">
      <w:pPr>
        <w:ind w:left="0" w:leftChars="0" w:firstLine="0" w:firstLineChars="0"/>
        <w:rPr>
          <w:rFonts w:hint="eastAsia" w:ascii="仿宋" w:hAnsi="仿宋" w:eastAsia="仿宋" w:cs="仿宋"/>
          <w:b/>
          <w:bCs/>
          <w:kern w:val="2"/>
          <w:sz w:val="28"/>
          <w:szCs w:val="28"/>
          <w:lang w:val="en-US" w:eastAsia="zh-CN" w:bidi="ar-SA"/>
        </w:rPr>
      </w:pPr>
      <w:bookmarkStart w:id="0" w:name="_GoBack"/>
      <w:bookmarkEnd w:id="0"/>
      <w:r>
        <w:rPr>
          <w:rFonts w:hint="eastAsia" w:ascii="仿宋" w:hAnsi="仿宋" w:eastAsia="仿宋" w:cs="仿宋"/>
          <w:b/>
          <w:bCs/>
          <w:kern w:val="2"/>
          <w:sz w:val="28"/>
          <w:szCs w:val="28"/>
          <w:lang w:val="en-US" w:eastAsia="zh-CN" w:bidi="ar-SA"/>
        </w:rPr>
        <w:t>2.5、承诺函</w:t>
      </w:r>
    </w:p>
    <w:p w14:paraId="610437DC">
      <w:pPr>
        <w:rPr>
          <w:rFonts w:hint="eastAsia"/>
          <w:lang w:val="en-US" w:eastAsia="zh-CN"/>
        </w:rPr>
      </w:pPr>
    </w:p>
    <w:p w14:paraId="7893195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r>
        <w:rPr>
          <w:rFonts w:hint="eastAsia"/>
          <w:lang w:val="en-US" w:eastAsia="zh-CN"/>
        </w:rPr>
        <w:t xml:space="preserve"> </w:t>
      </w:r>
      <w:r>
        <w:rPr>
          <w:rFonts w:hint="eastAsia"/>
          <w:u w:val="single"/>
          <w:lang w:val="en-US" w:eastAsia="zh-CN"/>
        </w:rPr>
        <w:t xml:space="preserve">                （供应商名称）</w:t>
      </w:r>
      <w:r>
        <w:rPr>
          <w:rFonts w:hint="eastAsia"/>
          <w:u w:val="none"/>
          <w:lang w:val="en-US" w:eastAsia="zh-CN"/>
        </w:rPr>
        <w:t>承诺：所投设备满足甲方现场项目需求的标准，如货到现场不满足甲方需求，甲方有权拒收产品，由此产生的费用和损失由我方承担。</w:t>
      </w:r>
    </w:p>
    <w:p w14:paraId="3656BBD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p>
    <w:p w14:paraId="797CAB0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p>
    <w:p w14:paraId="6194C51F">
      <w:pPr>
        <w:keepNext w:val="0"/>
        <w:keepLines w:val="0"/>
        <w:pageBreakBefore w:val="0"/>
        <w:widowControl w:val="0"/>
        <w:kinsoku/>
        <w:wordWrap/>
        <w:overflowPunct/>
        <w:topLinePunct w:val="0"/>
        <w:autoSpaceDE/>
        <w:autoSpaceDN/>
        <w:bidi w:val="0"/>
        <w:adjustRightInd/>
        <w:snapToGrid/>
        <w:spacing w:line="480" w:lineRule="auto"/>
        <w:ind w:firstLine="5280" w:firstLineChars="2200"/>
        <w:jc w:val="both"/>
        <w:textAlignment w:val="auto"/>
        <w:rPr>
          <w:rFonts w:hint="default"/>
          <w:u w:val="single"/>
          <w:lang w:val="en-US" w:eastAsia="zh-CN"/>
        </w:rPr>
      </w:pPr>
      <w:r>
        <w:rPr>
          <w:rFonts w:hint="eastAsia"/>
          <w:u w:val="none"/>
          <w:lang w:val="en-US" w:eastAsia="zh-CN"/>
        </w:rPr>
        <w:t>供应商公章：</w:t>
      </w:r>
      <w:r>
        <w:rPr>
          <w:rFonts w:hint="eastAsia"/>
          <w:u w:val="single"/>
          <w:lang w:val="en-US" w:eastAsia="zh-CN"/>
        </w:rPr>
        <w:t xml:space="preserve">               </w:t>
      </w:r>
    </w:p>
    <w:p w14:paraId="2D5D51F9">
      <w:pPr>
        <w:ind w:firstLine="5280" w:firstLineChars="2200"/>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u w:val="none"/>
          <w:lang w:val="en-US" w:eastAsia="zh-CN"/>
        </w:rPr>
        <w:t>日期：</w:t>
      </w:r>
      <w:r>
        <w:rPr>
          <w:rFonts w:hint="eastAsia"/>
          <w:u w:val="single"/>
          <w:lang w:val="en-US" w:eastAsia="zh-CN"/>
        </w:rPr>
        <w:t xml:space="preserve">            </w:t>
      </w:r>
    </w:p>
    <w:tbl>
      <w:tblPr>
        <w:tblW w:w="13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725"/>
        <w:gridCol w:w="4650"/>
        <w:gridCol w:w="1080"/>
        <w:gridCol w:w="1080"/>
        <w:gridCol w:w="1080"/>
        <w:gridCol w:w="1080"/>
        <w:gridCol w:w="2070"/>
      </w:tblGrid>
      <w:tr w14:paraId="7B300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845" w:type="dxa"/>
            <w:gridSpan w:val="8"/>
            <w:tcBorders>
              <w:top w:val="nil"/>
              <w:left w:val="nil"/>
              <w:bottom w:val="nil"/>
              <w:right w:val="nil"/>
            </w:tcBorders>
            <w:shd w:val="clear"/>
            <w:vAlign w:val="center"/>
          </w:tcPr>
          <w:p w14:paraId="4F4AE5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bdr w:val="none" w:color="auto" w:sz="0" w:space="0"/>
                <w:lang w:val="en-US" w:eastAsia="zh-CN" w:bidi="ar"/>
              </w:rPr>
              <w:t>三、清单报价表</w:t>
            </w:r>
          </w:p>
        </w:tc>
      </w:tr>
      <w:tr w14:paraId="3C589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vAlign w:val="center"/>
          </w:tcPr>
          <w:p w14:paraId="2AF66E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询价单位</w:t>
            </w:r>
          </w:p>
        </w:tc>
        <w:tc>
          <w:tcPr>
            <w:tcW w:w="4650" w:type="dxa"/>
            <w:tcBorders>
              <w:top w:val="single" w:color="000000" w:sz="4" w:space="0"/>
              <w:left w:val="single" w:color="000000" w:sz="4" w:space="0"/>
              <w:bottom w:val="single" w:color="000000" w:sz="4" w:space="0"/>
              <w:right w:val="single" w:color="000000" w:sz="4" w:space="0"/>
            </w:tcBorders>
            <w:shd w:val="clear"/>
            <w:vAlign w:val="center"/>
          </w:tcPr>
          <w:p w14:paraId="1B8ABC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江苏省淮安市保安服务有限公司</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59AE56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报价单位</w:t>
            </w:r>
          </w:p>
        </w:tc>
        <w:tc>
          <w:tcPr>
            <w:tcW w:w="0" w:type="auto"/>
            <w:gridSpan w:val="3"/>
            <w:tcBorders>
              <w:top w:val="single" w:color="000000" w:sz="4" w:space="0"/>
              <w:left w:val="nil"/>
              <w:bottom w:val="single" w:color="000000" w:sz="4" w:space="0"/>
              <w:right w:val="single" w:color="000000" w:sz="4" w:space="0"/>
            </w:tcBorders>
            <w:shd w:val="clear"/>
            <w:noWrap/>
            <w:vAlign w:val="center"/>
          </w:tcPr>
          <w:p w14:paraId="4A93F8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必填（盖章）</w:t>
            </w:r>
          </w:p>
        </w:tc>
      </w:tr>
      <w:tr w14:paraId="577EC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vAlign w:val="center"/>
          </w:tcPr>
          <w:p w14:paraId="6B5399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联系人</w:t>
            </w:r>
          </w:p>
        </w:tc>
        <w:tc>
          <w:tcPr>
            <w:tcW w:w="4650" w:type="dxa"/>
            <w:tcBorders>
              <w:top w:val="single" w:color="000000" w:sz="4" w:space="0"/>
              <w:left w:val="single" w:color="000000" w:sz="4" w:space="0"/>
              <w:bottom w:val="single" w:color="000000" w:sz="4" w:space="0"/>
              <w:right w:val="single" w:color="000000" w:sz="4" w:space="0"/>
            </w:tcBorders>
            <w:shd w:val="clear"/>
            <w:vAlign w:val="center"/>
          </w:tcPr>
          <w:p w14:paraId="2DEEC4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30A31A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法定代表人或授权委托人</w:t>
            </w:r>
          </w:p>
        </w:tc>
        <w:tc>
          <w:tcPr>
            <w:tcW w:w="0" w:type="auto"/>
            <w:gridSpan w:val="3"/>
            <w:tcBorders>
              <w:top w:val="single" w:color="000000" w:sz="4" w:space="0"/>
              <w:left w:val="nil"/>
              <w:bottom w:val="single" w:color="000000" w:sz="4" w:space="0"/>
              <w:right w:val="single" w:color="000000" w:sz="4" w:space="0"/>
            </w:tcBorders>
            <w:shd w:val="clear"/>
            <w:noWrap/>
            <w:vAlign w:val="center"/>
          </w:tcPr>
          <w:p w14:paraId="0D1953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7E976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vAlign w:val="center"/>
          </w:tcPr>
          <w:p w14:paraId="136EC4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电话</w:t>
            </w:r>
          </w:p>
        </w:tc>
        <w:tc>
          <w:tcPr>
            <w:tcW w:w="4650" w:type="dxa"/>
            <w:tcBorders>
              <w:top w:val="single" w:color="000000" w:sz="4" w:space="0"/>
              <w:left w:val="single" w:color="000000" w:sz="4" w:space="0"/>
              <w:bottom w:val="single" w:color="000000" w:sz="4" w:space="0"/>
              <w:right w:val="single" w:color="000000" w:sz="4" w:space="0"/>
            </w:tcBorders>
            <w:shd w:val="clear"/>
            <w:vAlign w:val="center"/>
          </w:tcPr>
          <w:p w14:paraId="3E0E09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4331E4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电话</w:t>
            </w:r>
          </w:p>
        </w:tc>
        <w:tc>
          <w:tcPr>
            <w:tcW w:w="0" w:type="auto"/>
            <w:gridSpan w:val="3"/>
            <w:tcBorders>
              <w:top w:val="single" w:color="000000" w:sz="4" w:space="0"/>
              <w:left w:val="nil"/>
              <w:bottom w:val="single" w:color="000000" w:sz="4" w:space="0"/>
              <w:right w:val="single" w:color="000000" w:sz="4" w:space="0"/>
            </w:tcBorders>
            <w:shd w:val="clear"/>
            <w:noWrap/>
            <w:vAlign w:val="center"/>
          </w:tcPr>
          <w:p w14:paraId="077AD4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30884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vAlign w:val="center"/>
          </w:tcPr>
          <w:p w14:paraId="377CC6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邮箱</w:t>
            </w:r>
          </w:p>
        </w:tc>
        <w:tc>
          <w:tcPr>
            <w:tcW w:w="4650" w:type="dxa"/>
            <w:tcBorders>
              <w:top w:val="single" w:color="000000" w:sz="4" w:space="0"/>
              <w:left w:val="single" w:color="000000" w:sz="4" w:space="0"/>
              <w:bottom w:val="single" w:color="000000" w:sz="4" w:space="0"/>
              <w:right w:val="single" w:color="000000" w:sz="4" w:space="0"/>
            </w:tcBorders>
            <w:shd w:val="clear"/>
            <w:vAlign w:val="center"/>
          </w:tcPr>
          <w:p w14:paraId="2FEA58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bdr w:val="none" w:color="auto" w:sz="0" w:space="0"/>
                <w:lang w:val="en-US" w:eastAsia="zh-CN" w:bidi="ar"/>
              </w:rPr>
              <w:t>HABAccb@163.com</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44D662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邮箱</w:t>
            </w:r>
          </w:p>
        </w:tc>
        <w:tc>
          <w:tcPr>
            <w:tcW w:w="0" w:type="auto"/>
            <w:gridSpan w:val="3"/>
            <w:tcBorders>
              <w:top w:val="single" w:color="000000" w:sz="4" w:space="0"/>
              <w:left w:val="nil"/>
              <w:bottom w:val="single" w:color="000000" w:sz="4" w:space="0"/>
              <w:right w:val="single" w:color="000000" w:sz="4" w:space="0"/>
            </w:tcBorders>
            <w:shd w:val="clear"/>
            <w:noWrap/>
            <w:vAlign w:val="center"/>
          </w:tcPr>
          <w:p w14:paraId="6E8690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2A839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vAlign w:val="center"/>
          </w:tcPr>
          <w:p w14:paraId="6CD714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650" w:type="dxa"/>
            <w:tcBorders>
              <w:top w:val="single" w:color="000000" w:sz="4" w:space="0"/>
              <w:left w:val="single" w:color="000000" w:sz="4" w:space="0"/>
              <w:bottom w:val="single" w:color="000000" w:sz="4" w:space="0"/>
              <w:right w:val="single" w:color="000000" w:sz="4" w:space="0"/>
            </w:tcBorders>
            <w:shd w:val="clear"/>
            <w:vAlign w:val="center"/>
          </w:tcPr>
          <w:p w14:paraId="7D3700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3645EF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报价日期</w:t>
            </w:r>
          </w:p>
        </w:tc>
        <w:tc>
          <w:tcPr>
            <w:tcW w:w="0" w:type="auto"/>
            <w:gridSpan w:val="3"/>
            <w:tcBorders>
              <w:top w:val="single" w:color="000000" w:sz="4" w:space="0"/>
              <w:left w:val="nil"/>
              <w:bottom w:val="single" w:color="000000" w:sz="4" w:space="0"/>
              <w:right w:val="single" w:color="000000" w:sz="4" w:space="0"/>
            </w:tcBorders>
            <w:shd w:val="clear"/>
            <w:noWrap/>
            <w:vAlign w:val="center"/>
          </w:tcPr>
          <w:p w14:paraId="4E24EF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4B019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5A4E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72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50FE4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46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7674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技术参数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38CE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6C389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526E01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金额（元）</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2D96C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备注所投品牌型号</w:t>
            </w:r>
          </w:p>
        </w:tc>
      </w:tr>
      <w:tr w14:paraId="581B6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89F3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A0788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6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1A81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9B7E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1374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FCA7D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07DC5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合价</w:t>
            </w: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C465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681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6AB6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7FE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8路HDBaseT光纤输入板(音视频传输）</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858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1.支持8路HDBaseT光纤输入。</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2.支持8路1080P视频输入、8路双向音频。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3.支持端口自适应、链路备份。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4.支持单模单芯、单模双芯、多模双芯标准SFP+光模块。</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5.具体做法满足设计图纸及现场实际需求、法律法规、相关规范规定的其他标准及建设单位要求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MSP1000-IF08-LC</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科达</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74A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4E6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F4868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D96F1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070" w:type="dxa"/>
            <w:tcBorders>
              <w:top w:val="nil"/>
              <w:left w:val="single" w:color="000000" w:sz="4" w:space="0"/>
              <w:bottom w:val="single" w:color="000000" w:sz="4" w:space="0"/>
              <w:right w:val="single" w:color="000000" w:sz="4" w:space="0"/>
            </w:tcBorders>
            <w:shd w:val="clear"/>
            <w:vAlign w:val="center"/>
          </w:tcPr>
          <w:p w14:paraId="76571C1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58FC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0"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7AD9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7A4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8路HDBaseT光纤输出板(音视频传输）</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9EA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1.支持8路HDBaseT光纤输出。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2.支持8路1080P视频输出、8路双向音频。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3.支持端口自适应、链路备份。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4.支持单模单芯、单模双芯、多模双芯标准SFP+光模块。</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5.具体做法满足设计图纸及现场实际需求、法律法规、相关规范规定的其他标准及建设单位要求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MSP1000-OF08-LR</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科达</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DBA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CDB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CA7CF1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DE2EE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070" w:type="dxa"/>
            <w:tcBorders>
              <w:top w:val="nil"/>
              <w:left w:val="single" w:color="000000" w:sz="4" w:space="0"/>
              <w:bottom w:val="single" w:color="000000" w:sz="4" w:space="0"/>
              <w:right w:val="single" w:color="000000" w:sz="4" w:space="0"/>
            </w:tcBorders>
            <w:shd w:val="clear"/>
            <w:vAlign w:val="center"/>
          </w:tcPr>
          <w:p w14:paraId="44152F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3102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E7C7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296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8路HDBaseT光纤输出拼接板</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113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1.支持8路HDBaseT光纤输出。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2.支持8路1080P视频输出、8路双向音频。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3.支持端口自适应、链路备份。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4.支持单模单芯、单模双芯、多模双芯标准SFP+光模块。</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5.具体做法满足设计图纸及现场实际需求、法律法规、相关规范规定的其他标准及建设单位要求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MSP1000-OF08-LRP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科达</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36C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A77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AFA5F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7F998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070" w:type="dxa"/>
            <w:tcBorders>
              <w:top w:val="nil"/>
              <w:left w:val="single" w:color="000000" w:sz="4" w:space="0"/>
              <w:bottom w:val="single" w:color="000000" w:sz="4" w:space="0"/>
              <w:right w:val="single" w:color="000000" w:sz="4" w:space="0"/>
            </w:tcBorders>
            <w:shd w:val="clear"/>
            <w:vAlign w:val="center"/>
          </w:tcPr>
          <w:p w14:paraId="501B9E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7F45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077F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F50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预监板</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58B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1.支持并发8路1080P@60fps及以下分辨率视频预监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2.支持音频预监。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3.具体做法满足设计图纸及现场实际需求、法律法规、相关规范规定的其他标准及建设单位要求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MSP1000-PV</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319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B63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0A1D4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C4010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070" w:type="dxa"/>
            <w:tcBorders>
              <w:top w:val="nil"/>
              <w:left w:val="single" w:color="000000" w:sz="4" w:space="0"/>
              <w:bottom w:val="single" w:color="000000" w:sz="4" w:space="0"/>
              <w:right w:val="single" w:color="000000" w:sz="4" w:space="0"/>
            </w:tcBorders>
            <w:shd w:val="clear"/>
            <w:vAlign w:val="center"/>
          </w:tcPr>
          <w:p w14:paraId="3150A6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1B1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8961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021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录播服务器</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7A2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1.19英寸2U</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2.支持1080P录制，提供20组录放像、6组HLS直播、300方直播用户(可扩展)、4T录像存储，支持RAID，双电源</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3.具体做法满足设计图纸及现场实际需求、法律法规、相关规范规定的其他标准及建设单位要求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VRS2100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D89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8D0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DADEF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5D5EE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070" w:type="dxa"/>
            <w:tcBorders>
              <w:top w:val="nil"/>
              <w:left w:val="single" w:color="000000" w:sz="4" w:space="0"/>
              <w:bottom w:val="single" w:color="000000" w:sz="4" w:space="0"/>
              <w:right w:val="single" w:color="000000" w:sz="4" w:space="0"/>
            </w:tcBorders>
            <w:shd w:val="clear"/>
            <w:vAlign w:val="center"/>
          </w:tcPr>
          <w:p w14:paraId="58AC3E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75D4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BABA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9B7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高清视频会议终端</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724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1.超清视频会议终端(8M,超高性能4K分辨率,2个10/100/1000M,USB-C输入,HDMI输入/输出,19英寸1U),国密,不带WIFI</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2.具体做法满足设计图纸及现场实际需求、法律法规、相关规范规定的其他标准及建设单位要求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SKY X330-4K30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75C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A62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E5C2E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F0FDC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070" w:type="dxa"/>
            <w:tcBorders>
              <w:top w:val="nil"/>
              <w:left w:val="single" w:color="000000" w:sz="4" w:space="0"/>
              <w:bottom w:val="single" w:color="000000" w:sz="4" w:space="0"/>
              <w:right w:val="single" w:color="000000" w:sz="4" w:space="0"/>
            </w:tcBorders>
            <w:shd w:val="clear"/>
            <w:vAlign w:val="center"/>
          </w:tcPr>
          <w:p w14:paraId="639DD9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8045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1360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3A1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高清视频会议摄像机</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D12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1.PTZ摄像机,4K30,12倍光学变焦,最低照度0.1Lx,F1.6</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2.支持HDMI输出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3.支持正装或倒装</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4.黑色</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5.具体做法满足设计图纸及现场实际需求、法律法规、相关规范规定的其他标准及建设单位要求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MOON53-4K30-B</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4DC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C7E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F46AE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B262F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070" w:type="dxa"/>
            <w:tcBorders>
              <w:top w:val="nil"/>
              <w:left w:val="single" w:color="000000" w:sz="4" w:space="0"/>
              <w:bottom w:val="single" w:color="000000" w:sz="4" w:space="0"/>
              <w:right w:val="single" w:color="000000" w:sz="4" w:space="0"/>
            </w:tcBorders>
            <w:shd w:val="clear"/>
            <w:vAlign w:val="center"/>
          </w:tcPr>
          <w:p w14:paraId="13792C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DD95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8D6E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4DA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HDBaseT光纤HDMI发送器（带外置音频）</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11F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1.符合HDMI1.4标准，支持1xHDMI输出，2x USB 2.0 （Type A）， 2x Line in/Mic in输入（支持幻象电源输出），2 x Line out输出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2.1xHDBaseT光纤输入</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3.支持单模单芯、单模双芯、多模双芯标准SFP+光模块</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4.不包含光模块，光模块需要根据传输距离选配</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5.具体做法满足设计图纸及现场实际需求、法律法规、相关规范规定的其他标准及建设单位要求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MST1000-HFA-TX</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346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2E1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D7635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7DBCB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070" w:type="dxa"/>
            <w:tcBorders>
              <w:top w:val="nil"/>
              <w:left w:val="single" w:color="000000" w:sz="4" w:space="0"/>
              <w:bottom w:val="single" w:color="000000" w:sz="4" w:space="0"/>
              <w:right w:val="single" w:color="000000" w:sz="4" w:space="0"/>
            </w:tcBorders>
            <w:shd w:val="clear"/>
            <w:vAlign w:val="center"/>
          </w:tcPr>
          <w:p w14:paraId="3D5F7D7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04C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58B2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403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HDBaseT光纤HDMI接收器（带外置音频）</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ECD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1.符合HDMI1.4标准，支持1xHDMI输出，2x USB 2.0 （Type A）， 2x Line in/Mic in输入（支持幻象电源输出），2 x Line out输出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2.1xHDBaseT光纤输入</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3.支持单模单芯、单模双芯、多模双芯标准SFP+光模块</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4.不包含光模块，光模块需要根据传输距离选配</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5.具体做法满足设计图纸及现场实际需求、法律法规、相关规范规定的其他标准及建设单位要求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MST1000-FHA-RX</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CB6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EFB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5FA88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6873D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070" w:type="dxa"/>
            <w:tcBorders>
              <w:top w:val="nil"/>
              <w:left w:val="single" w:color="000000" w:sz="4" w:space="0"/>
              <w:bottom w:val="single" w:color="000000" w:sz="4" w:space="0"/>
              <w:right w:val="single" w:color="000000" w:sz="4" w:space="0"/>
            </w:tcBorders>
            <w:shd w:val="clear"/>
            <w:vAlign w:val="center"/>
          </w:tcPr>
          <w:p w14:paraId="2140A7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3D78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B7C0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E64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36W电源适配器</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D2C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1.100-240V AC输入，12V DC输出，输出电流3A，输出功率36W</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2.含国标线。</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3.具体做法满足设计图纸及现场实际需求、法律法规、相关规范规定的其他标准及建设单位要求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SUN-1200300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索源</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7E0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9B0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581FC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D5AC0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070" w:type="dxa"/>
            <w:tcBorders>
              <w:top w:val="nil"/>
              <w:left w:val="single" w:color="000000" w:sz="4" w:space="0"/>
              <w:bottom w:val="single" w:color="000000" w:sz="4" w:space="0"/>
              <w:right w:val="single" w:color="000000" w:sz="4" w:space="0"/>
            </w:tcBorders>
            <w:shd w:val="clear"/>
            <w:vAlign w:val="center"/>
          </w:tcPr>
          <w:p w14:paraId="3732B1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4855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3386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3E5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1.4Km单模双纤SFP+光模块</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C93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1.1.4Km单模双纤SFP+光模块</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2.10G传输速率，LC接口，工温</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3.具体做法满足设计图纸及现场实际需求、法律法规、相关规范规定的其他标准及建设单位要求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国产</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FD1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6E1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C8EA0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F3742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070" w:type="dxa"/>
            <w:tcBorders>
              <w:top w:val="nil"/>
              <w:left w:val="single" w:color="000000" w:sz="4" w:space="0"/>
              <w:bottom w:val="single" w:color="000000" w:sz="4" w:space="0"/>
              <w:right w:val="single" w:color="000000" w:sz="4" w:space="0"/>
            </w:tcBorders>
            <w:shd w:val="clear"/>
            <w:vAlign w:val="center"/>
          </w:tcPr>
          <w:p w14:paraId="410534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4142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35"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ECEB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F84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HDBaseT光纤HDMI发送器（带外置音频）</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46E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1.符合HDMI1.4标准，支持1xHDMI输入，1 x USB 2.0 （Type B），2 x Line in/Mic in输入（支持幻象电源输出），2 x Line out输出，1xHDMI环回输出。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2.1xHDBaseT光纤输出。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3.支持单模单芯、单模双芯、多模双芯标准SFP+光模块。</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4.具体做法满足设计图纸及现场实际需求、法律法规、相关规范规定的其他标准及建设单位要求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MST1000-HFA-TX</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DC8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4EA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E75CF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0852C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070" w:type="dxa"/>
            <w:tcBorders>
              <w:top w:val="nil"/>
              <w:left w:val="single" w:color="000000" w:sz="4" w:space="0"/>
              <w:bottom w:val="single" w:color="000000" w:sz="4" w:space="0"/>
              <w:right w:val="single" w:color="000000" w:sz="4" w:space="0"/>
            </w:tcBorders>
            <w:shd w:val="clear"/>
            <w:vAlign w:val="center"/>
          </w:tcPr>
          <w:p w14:paraId="5480E2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30EA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15B6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890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HDBaseT光纤HDMI接收器（带外置音频）</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2D0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1.符合HDMI1.4标准，支持1xHDMI输出，2x USB 2.0 （Type A）， 2x Line in/Mic in输入（支持幻象电源输出），2 x Line out输出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2.1xHDBaseT光纤输入</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3.支持单模单芯、单模双芯、多模双芯标准SFP+光模块</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4.具体做法满足设计图纸及现场实际需求、法律法规、相关规范规定的其他标准及建设单位要求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MST1000-FHA-RX</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794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F24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23E910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D9CFF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070" w:type="dxa"/>
            <w:tcBorders>
              <w:top w:val="nil"/>
              <w:left w:val="single" w:color="000000" w:sz="4" w:space="0"/>
              <w:bottom w:val="single" w:color="000000" w:sz="4" w:space="0"/>
              <w:right w:val="single" w:color="000000" w:sz="4" w:space="0"/>
            </w:tcBorders>
            <w:shd w:val="clear"/>
            <w:vAlign w:val="center"/>
          </w:tcPr>
          <w:p w14:paraId="73043E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9D23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60B5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AAA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36W电源适配器</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593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1.100-240V AC输入，12V DC输出，输出电流3A，输出功率36W</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2.含国标线。</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3.具体做法满足设计图纸及现场实际需求、法律法规、相关规范规定的其他标准及建设单位要求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SUN-1200300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索源</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7E8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5B7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D71AC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C68DF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070" w:type="dxa"/>
            <w:tcBorders>
              <w:top w:val="nil"/>
              <w:left w:val="single" w:color="000000" w:sz="4" w:space="0"/>
              <w:bottom w:val="single" w:color="000000" w:sz="4" w:space="0"/>
              <w:right w:val="single" w:color="000000" w:sz="4" w:space="0"/>
            </w:tcBorders>
            <w:shd w:val="clear"/>
            <w:vAlign w:val="center"/>
          </w:tcPr>
          <w:p w14:paraId="611182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00F3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D01E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AA7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1.4Km单模双纤SFP+光模块</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242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1.1.4Km单模双纤SFP+光模块</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2.10G传输速率，LC接口，工温</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3.具体做法满足设计图纸及现场实际需求、法律法规、相关规范规定的其他标准及建设单位要求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国产</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57D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986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B466B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53646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070" w:type="dxa"/>
            <w:tcBorders>
              <w:top w:val="nil"/>
              <w:left w:val="single" w:color="000000" w:sz="4" w:space="0"/>
              <w:bottom w:val="single" w:color="000000" w:sz="4" w:space="0"/>
              <w:right w:val="single" w:color="000000" w:sz="4" w:space="0"/>
            </w:tcBorders>
            <w:shd w:val="clear"/>
            <w:vAlign w:val="center"/>
          </w:tcPr>
          <w:p w14:paraId="0C74942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15D5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28990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12765" w:type="dxa"/>
            <w:gridSpan w:val="7"/>
            <w:tcBorders>
              <w:top w:val="single" w:color="000000" w:sz="4" w:space="0"/>
              <w:left w:val="single" w:color="000000" w:sz="4" w:space="0"/>
              <w:bottom w:val="single" w:color="000000" w:sz="4" w:space="0"/>
              <w:right w:val="single" w:color="000000" w:sz="4" w:space="0"/>
            </w:tcBorders>
            <w:shd w:val="clear"/>
            <w:vAlign w:val="center"/>
          </w:tcPr>
          <w:p w14:paraId="4889F2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5419725</wp:posOffset>
                  </wp:positionH>
                  <wp:positionV relativeFrom="paragraph">
                    <wp:posOffset>0</wp:posOffset>
                  </wp:positionV>
                  <wp:extent cx="152400" cy="161925"/>
                  <wp:effectExtent l="0" t="0" r="0" b="0"/>
                  <wp:wrapNone/>
                  <wp:docPr id="2" name="Text_Box_5"/>
                  <wp:cNvGraphicFramePr/>
                  <a:graphic xmlns:a="http://schemas.openxmlformats.org/drawingml/2006/main">
                    <a:graphicData uri="http://schemas.openxmlformats.org/drawingml/2006/picture">
                      <pic:pic xmlns:pic="http://schemas.openxmlformats.org/drawingml/2006/picture">
                        <pic:nvPicPr>
                          <pic:cNvPr id="2"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5419725</wp:posOffset>
                  </wp:positionH>
                  <wp:positionV relativeFrom="paragraph">
                    <wp:posOffset>0</wp:posOffset>
                  </wp:positionV>
                  <wp:extent cx="152400" cy="161925"/>
                  <wp:effectExtent l="0" t="0" r="0" b="0"/>
                  <wp:wrapNone/>
                  <wp:docPr id="1" name="Text_Box_9"/>
                  <wp:cNvGraphicFramePr/>
                  <a:graphic xmlns:a="http://schemas.openxmlformats.org/drawingml/2006/main">
                    <a:graphicData uri="http://schemas.openxmlformats.org/drawingml/2006/picture">
                      <pic:pic xmlns:pic="http://schemas.openxmlformats.org/drawingml/2006/picture">
                        <pic:nvPicPr>
                          <pic:cNvPr id="1" name="Text_Box_9"/>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5419725</wp:posOffset>
                  </wp:positionH>
                  <wp:positionV relativeFrom="paragraph">
                    <wp:posOffset>0</wp:posOffset>
                  </wp:positionV>
                  <wp:extent cx="152400" cy="161925"/>
                  <wp:effectExtent l="0" t="0" r="0" b="0"/>
                  <wp:wrapNone/>
                  <wp:docPr id="8" name="Text_Box_5_SpCnt_1"/>
                  <wp:cNvGraphicFramePr/>
                  <a:graphic xmlns:a="http://schemas.openxmlformats.org/drawingml/2006/main">
                    <a:graphicData uri="http://schemas.openxmlformats.org/drawingml/2006/picture">
                      <pic:pic xmlns:pic="http://schemas.openxmlformats.org/drawingml/2006/picture">
                        <pic:nvPicPr>
                          <pic:cNvPr id="8" name="Text_Box_5_SpCnt_1"/>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5419725</wp:posOffset>
                  </wp:positionH>
                  <wp:positionV relativeFrom="paragraph">
                    <wp:posOffset>0</wp:posOffset>
                  </wp:positionV>
                  <wp:extent cx="152400" cy="161925"/>
                  <wp:effectExtent l="0" t="0" r="0" b="0"/>
                  <wp:wrapNone/>
                  <wp:docPr id="7" name="Text_Box_9_SpCnt_1"/>
                  <wp:cNvGraphicFramePr/>
                  <a:graphic xmlns:a="http://schemas.openxmlformats.org/drawingml/2006/main">
                    <a:graphicData uri="http://schemas.openxmlformats.org/drawingml/2006/picture">
                      <pic:pic xmlns:pic="http://schemas.openxmlformats.org/drawingml/2006/picture">
                        <pic:nvPicPr>
                          <pic:cNvPr id="7" name="Text_Box_9_SpCnt_1"/>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5419725</wp:posOffset>
                  </wp:positionH>
                  <wp:positionV relativeFrom="paragraph">
                    <wp:posOffset>0</wp:posOffset>
                  </wp:positionV>
                  <wp:extent cx="152400" cy="161925"/>
                  <wp:effectExtent l="0" t="0" r="0" b="0"/>
                  <wp:wrapNone/>
                  <wp:docPr id="6" name="Text_Box_12"/>
                  <wp:cNvGraphicFramePr/>
                  <a:graphic xmlns:a="http://schemas.openxmlformats.org/drawingml/2006/main">
                    <a:graphicData uri="http://schemas.openxmlformats.org/drawingml/2006/picture">
                      <pic:pic xmlns:pic="http://schemas.openxmlformats.org/drawingml/2006/picture">
                        <pic:nvPicPr>
                          <pic:cNvPr id="6" name="Text_Box_12"/>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5419725</wp:posOffset>
                  </wp:positionH>
                  <wp:positionV relativeFrom="paragraph">
                    <wp:posOffset>0</wp:posOffset>
                  </wp:positionV>
                  <wp:extent cx="152400" cy="161925"/>
                  <wp:effectExtent l="0" t="0" r="0" b="0"/>
                  <wp:wrapNone/>
                  <wp:docPr id="19" name="Text_Box_10"/>
                  <wp:cNvGraphicFramePr/>
                  <a:graphic xmlns:a="http://schemas.openxmlformats.org/drawingml/2006/main">
                    <a:graphicData uri="http://schemas.openxmlformats.org/drawingml/2006/picture">
                      <pic:pic xmlns:pic="http://schemas.openxmlformats.org/drawingml/2006/picture">
                        <pic:nvPicPr>
                          <pic:cNvPr id="19" name="Text_Box_10"/>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5419725</wp:posOffset>
                  </wp:positionH>
                  <wp:positionV relativeFrom="paragraph">
                    <wp:posOffset>0</wp:posOffset>
                  </wp:positionV>
                  <wp:extent cx="152400" cy="161925"/>
                  <wp:effectExtent l="0" t="0" r="0" b="0"/>
                  <wp:wrapNone/>
                  <wp:docPr id="10" name="Text_Box_9_SpCnt_2"/>
                  <wp:cNvGraphicFramePr/>
                  <a:graphic xmlns:a="http://schemas.openxmlformats.org/drawingml/2006/main">
                    <a:graphicData uri="http://schemas.openxmlformats.org/drawingml/2006/picture">
                      <pic:pic xmlns:pic="http://schemas.openxmlformats.org/drawingml/2006/picture">
                        <pic:nvPicPr>
                          <pic:cNvPr id="10" name="Text_Box_9_SpCnt_2"/>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5419725</wp:posOffset>
                  </wp:positionH>
                  <wp:positionV relativeFrom="paragraph">
                    <wp:posOffset>0</wp:posOffset>
                  </wp:positionV>
                  <wp:extent cx="152400" cy="161925"/>
                  <wp:effectExtent l="0" t="0" r="0" b="0"/>
                  <wp:wrapNone/>
                  <wp:docPr id="11" name="Text_Box_7"/>
                  <wp:cNvGraphicFramePr/>
                  <a:graphic xmlns:a="http://schemas.openxmlformats.org/drawingml/2006/main">
                    <a:graphicData uri="http://schemas.openxmlformats.org/drawingml/2006/picture">
                      <pic:pic xmlns:pic="http://schemas.openxmlformats.org/drawingml/2006/picture">
                        <pic:nvPicPr>
                          <pic:cNvPr id="11" name="Text_Box_7"/>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5419725</wp:posOffset>
                  </wp:positionH>
                  <wp:positionV relativeFrom="paragraph">
                    <wp:posOffset>0</wp:posOffset>
                  </wp:positionV>
                  <wp:extent cx="152400" cy="161925"/>
                  <wp:effectExtent l="0" t="0" r="0" b="0"/>
                  <wp:wrapNone/>
                  <wp:docPr id="9" name="Text_Box_5_SpCnt_2"/>
                  <wp:cNvGraphicFramePr/>
                  <a:graphic xmlns:a="http://schemas.openxmlformats.org/drawingml/2006/main">
                    <a:graphicData uri="http://schemas.openxmlformats.org/drawingml/2006/picture">
                      <pic:pic xmlns:pic="http://schemas.openxmlformats.org/drawingml/2006/picture">
                        <pic:nvPicPr>
                          <pic:cNvPr id="9" name="Text_Box_5_SpCnt_2"/>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5419725</wp:posOffset>
                  </wp:positionH>
                  <wp:positionV relativeFrom="paragraph">
                    <wp:posOffset>0</wp:posOffset>
                  </wp:positionV>
                  <wp:extent cx="152400" cy="161925"/>
                  <wp:effectExtent l="0" t="0" r="0" b="0"/>
                  <wp:wrapNone/>
                  <wp:docPr id="5" name="Text_Box_14"/>
                  <wp:cNvGraphicFramePr/>
                  <a:graphic xmlns:a="http://schemas.openxmlformats.org/drawingml/2006/main">
                    <a:graphicData uri="http://schemas.openxmlformats.org/drawingml/2006/picture">
                      <pic:pic xmlns:pic="http://schemas.openxmlformats.org/drawingml/2006/picture">
                        <pic:nvPicPr>
                          <pic:cNvPr id="5" name="Text_Box_14"/>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5419725</wp:posOffset>
                  </wp:positionH>
                  <wp:positionV relativeFrom="paragraph">
                    <wp:posOffset>0</wp:posOffset>
                  </wp:positionV>
                  <wp:extent cx="152400" cy="161925"/>
                  <wp:effectExtent l="0" t="0" r="0" b="0"/>
                  <wp:wrapNone/>
                  <wp:docPr id="12" name="Text_Box_12_SpCnt_1"/>
                  <wp:cNvGraphicFramePr/>
                  <a:graphic xmlns:a="http://schemas.openxmlformats.org/drawingml/2006/main">
                    <a:graphicData uri="http://schemas.openxmlformats.org/drawingml/2006/picture">
                      <pic:pic xmlns:pic="http://schemas.openxmlformats.org/drawingml/2006/picture">
                        <pic:nvPicPr>
                          <pic:cNvPr id="12" name="Text_Box_12_SpCnt_1"/>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5419725</wp:posOffset>
                  </wp:positionH>
                  <wp:positionV relativeFrom="paragraph">
                    <wp:posOffset>0</wp:posOffset>
                  </wp:positionV>
                  <wp:extent cx="152400" cy="161925"/>
                  <wp:effectExtent l="0" t="0" r="0" b="0"/>
                  <wp:wrapNone/>
                  <wp:docPr id="13" name="Text_Box_7_SpCnt_1"/>
                  <wp:cNvGraphicFramePr/>
                  <a:graphic xmlns:a="http://schemas.openxmlformats.org/drawingml/2006/main">
                    <a:graphicData uri="http://schemas.openxmlformats.org/drawingml/2006/picture">
                      <pic:pic xmlns:pic="http://schemas.openxmlformats.org/drawingml/2006/picture">
                        <pic:nvPicPr>
                          <pic:cNvPr id="13" name="Text_Box_7_SpCnt_1"/>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5419725</wp:posOffset>
                  </wp:positionH>
                  <wp:positionV relativeFrom="paragraph">
                    <wp:posOffset>0</wp:posOffset>
                  </wp:positionV>
                  <wp:extent cx="152400" cy="161925"/>
                  <wp:effectExtent l="0" t="0" r="0" b="0"/>
                  <wp:wrapNone/>
                  <wp:docPr id="14" name="Text_Box_10_SpCnt_1"/>
                  <wp:cNvGraphicFramePr/>
                  <a:graphic xmlns:a="http://schemas.openxmlformats.org/drawingml/2006/main">
                    <a:graphicData uri="http://schemas.openxmlformats.org/drawingml/2006/picture">
                      <pic:pic xmlns:pic="http://schemas.openxmlformats.org/drawingml/2006/picture">
                        <pic:nvPicPr>
                          <pic:cNvPr id="14" name="Text_Box_10_SpCnt_1"/>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5419725</wp:posOffset>
                  </wp:positionH>
                  <wp:positionV relativeFrom="paragraph">
                    <wp:posOffset>0</wp:posOffset>
                  </wp:positionV>
                  <wp:extent cx="152400" cy="161925"/>
                  <wp:effectExtent l="0" t="0" r="0" b="0"/>
                  <wp:wrapNone/>
                  <wp:docPr id="15" name="Text_Box_5_SpCnt_3"/>
                  <wp:cNvGraphicFramePr/>
                  <a:graphic xmlns:a="http://schemas.openxmlformats.org/drawingml/2006/main">
                    <a:graphicData uri="http://schemas.openxmlformats.org/drawingml/2006/picture">
                      <pic:pic xmlns:pic="http://schemas.openxmlformats.org/drawingml/2006/picture">
                        <pic:nvPicPr>
                          <pic:cNvPr id="15" name="Text_Box_5_SpCnt_3"/>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5419725</wp:posOffset>
                  </wp:positionH>
                  <wp:positionV relativeFrom="paragraph">
                    <wp:posOffset>0</wp:posOffset>
                  </wp:positionV>
                  <wp:extent cx="152400" cy="161925"/>
                  <wp:effectExtent l="0" t="0" r="0" b="0"/>
                  <wp:wrapNone/>
                  <wp:docPr id="3" name="Text_Box_14_SpCnt_1"/>
                  <wp:cNvGraphicFramePr/>
                  <a:graphic xmlns:a="http://schemas.openxmlformats.org/drawingml/2006/main">
                    <a:graphicData uri="http://schemas.openxmlformats.org/drawingml/2006/picture">
                      <pic:pic xmlns:pic="http://schemas.openxmlformats.org/drawingml/2006/picture">
                        <pic:nvPicPr>
                          <pic:cNvPr id="3" name="Text_Box_14_SpCnt_1"/>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5419725</wp:posOffset>
                  </wp:positionH>
                  <wp:positionV relativeFrom="paragraph">
                    <wp:posOffset>0</wp:posOffset>
                  </wp:positionV>
                  <wp:extent cx="152400" cy="161925"/>
                  <wp:effectExtent l="0" t="0" r="0" b="0"/>
                  <wp:wrapNone/>
                  <wp:docPr id="16" name="Text_Box_12_SpCnt_2"/>
                  <wp:cNvGraphicFramePr/>
                  <a:graphic xmlns:a="http://schemas.openxmlformats.org/drawingml/2006/main">
                    <a:graphicData uri="http://schemas.openxmlformats.org/drawingml/2006/picture">
                      <pic:pic xmlns:pic="http://schemas.openxmlformats.org/drawingml/2006/picture">
                        <pic:nvPicPr>
                          <pic:cNvPr id="16" name="Text_Box_12_SpCnt_2"/>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5419725</wp:posOffset>
                  </wp:positionH>
                  <wp:positionV relativeFrom="paragraph">
                    <wp:posOffset>0</wp:posOffset>
                  </wp:positionV>
                  <wp:extent cx="152400" cy="161925"/>
                  <wp:effectExtent l="0" t="0" r="0" b="0"/>
                  <wp:wrapNone/>
                  <wp:docPr id="17" name="Text_Box_10_SpCnt_2"/>
                  <wp:cNvGraphicFramePr/>
                  <a:graphic xmlns:a="http://schemas.openxmlformats.org/drawingml/2006/main">
                    <a:graphicData uri="http://schemas.openxmlformats.org/drawingml/2006/picture">
                      <pic:pic xmlns:pic="http://schemas.openxmlformats.org/drawingml/2006/picture">
                        <pic:nvPicPr>
                          <pic:cNvPr id="17" name="Text_Box_10_SpCnt_2"/>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5419725</wp:posOffset>
                  </wp:positionH>
                  <wp:positionV relativeFrom="paragraph">
                    <wp:posOffset>0</wp:posOffset>
                  </wp:positionV>
                  <wp:extent cx="152400" cy="161925"/>
                  <wp:effectExtent l="0" t="0" r="0" b="0"/>
                  <wp:wrapNone/>
                  <wp:docPr id="18" name="Text_Box_9_SpCnt_3"/>
                  <wp:cNvGraphicFramePr/>
                  <a:graphic xmlns:a="http://schemas.openxmlformats.org/drawingml/2006/main">
                    <a:graphicData uri="http://schemas.openxmlformats.org/drawingml/2006/picture">
                      <pic:pic xmlns:pic="http://schemas.openxmlformats.org/drawingml/2006/picture">
                        <pic:nvPicPr>
                          <pic:cNvPr id="18" name="Text_Box_9_SpCnt_3"/>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5419725</wp:posOffset>
                  </wp:positionH>
                  <wp:positionV relativeFrom="paragraph">
                    <wp:posOffset>0</wp:posOffset>
                  </wp:positionV>
                  <wp:extent cx="152400" cy="161925"/>
                  <wp:effectExtent l="0" t="0" r="0" b="0"/>
                  <wp:wrapNone/>
                  <wp:docPr id="4" name="Text_Box_14_SpCnt_2"/>
                  <wp:cNvGraphicFramePr/>
                  <a:graphic xmlns:a="http://schemas.openxmlformats.org/drawingml/2006/main">
                    <a:graphicData uri="http://schemas.openxmlformats.org/drawingml/2006/picture">
                      <pic:pic xmlns:pic="http://schemas.openxmlformats.org/drawingml/2006/picture">
                        <pic:nvPicPr>
                          <pic:cNvPr id="4" name="Text_Box_14_SpCnt_2"/>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5419725</wp:posOffset>
                  </wp:positionH>
                  <wp:positionV relativeFrom="paragraph">
                    <wp:posOffset>0</wp:posOffset>
                  </wp:positionV>
                  <wp:extent cx="152400" cy="161925"/>
                  <wp:effectExtent l="0" t="0" r="0" b="0"/>
                  <wp:wrapNone/>
                  <wp:docPr id="22" name="Text_Box_7_SpCnt_2"/>
                  <wp:cNvGraphicFramePr/>
                  <a:graphic xmlns:a="http://schemas.openxmlformats.org/drawingml/2006/main">
                    <a:graphicData uri="http://schemas.openxmlformats.org/drawingml/2006/picture">
                      <pic:pic xmlns:pic="http://schemas.openxmlformats.org/drawingml/2006/picture">
                        <pic:nvPicPr>
                          <pic:cNvPr id="22" name="Text_Box_7_SpCnt_2"/>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5419725</wp:posOffset>
                  </wp:positionH>
                  <wp:positionV relativeFrom="paragraph">
                    <wp:posOffset>0</wp:posOffset>
                  </wp:positionV>
                  <wp:extent cx="152400" cy="161925"/>
                  <wp:effectExtent l="0" t="0" r="0" b="0"/>
                  <wp:wrapNone/>
                  <wp:docPr id="23" name="Text_Box_12_SpCnt_3"/>
                  <wp:cNvGraphicFramePr/>
                  <a:graphic xmlns:a="http://schemas.openxmlformats.org/drawingml/2006/main">
                    <a:graphicData uri="http://schemas.openxmlformats.org/drawingml/2006/picture">
                      <pic:pic xmlns:pic="http://schemas.openxmlformats.org/drawingml/2006/picture">
                        <pic:nvPicPr>
                          <pic:cNvPr id="23" name="Text_Box_12_SpCnt_3"/>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5419725</wp:posOffset>
                  </wp:positionH>
                  <wp:positionV relativeFrom="paragraph">
                    <wp:posOffset>0</wp:posOffset>
                  </wp:positionV>
                  <wp:extent cx="152400" cy="161925"/>
                  <wp:effectExtent l="0" t="0" r="0" b="0"/>
                  <wp:wrapNone/>
                  <wp:docPr id="21" name="Text_Box_7_SpCnt_3"/>
                  <wp:cNvGraphicFramePr/>
                  <a:graphic xmlns:a="http://schemas.openxmlformats.org/drawingml/2006/main">
                    <a:graphicData uri="http://schemas.openxmlformats.org/drawingml/2006/picture">
                      <pic:pic xmlns:pic="http://schemas.openxmlformats.org/drawingml/2006/picture">
                        <pic:nvPicPr>
                          <pic:cNvPr id="21" name="Text_Box_7_SpCnt_3"/>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5419725</wp:posOffset>
                  </wp:positionH>
                  <wp:positionV relativeFrom="paragraph">
                    <wp:posOffset>0</wp:posOffset>
                  </wp:positionV>
                  <wp:extent cx="152400" cy="161925"/>
                  <wp:effectExtent l="0" t="0" r="0" b="0"/>
                  <wp:wrapNone/>
                  <wp:docPr id="20" name="Text_Box_10_SpCnt_3"/>
                  <wp:cNvGraphicFramePr/>
                  <a:graphic xmlns:a="http://schemas.openxmlformats.org/drawingml/2006/main">
                    <a:graphicData uri="http://schemas.openxmlformats.org/drawingml/2006/picture">
                      <pic:pic xmlns:pic="http://schemas.openxmlformats.org/drawingml/2006/picture">
                        <pic:nvPicPr>
                          <pic:cNvPr id="20" name="Text_Box_10_SpCnt_3"/>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none" w:color="auto" w:sz="0" w:space="0"/>
                <w:lang w:val="en-US" w:eastAsia="zh-CN" w:bidi="ar"/>
              </w:rPr>
              <w:t>合计：</w:t>
            </w:r>
            <w:r>
              <w:rPr>
                <w:rFonts w:hint="eastAsia" w:ascii="宋体" w:hAnsi="宋体" w:eastAsia="宋体" w:cs="宋体"/>
                <w:i w:val="0"/>
                <w:iCs w:val="0"/>
                <w:color w:val="000000"/>
                <w:kern w:val="0"/>
                <w:sz w:val="24"/>
                <w:szCs w:val="24"/>
                <w:u w:val="single"/>
                <w:bdr w:val="none" w:color="auto" w:sz="0" w:space="0"/>
                <w:lang w:val="en-US" w:eastAsia="zh-CN" w:bidi="ar"/>
              </w:rPr>
              <w:t xml:space="preserve">        </w:t>
            </w:r>
            <w:r>
              <w:rPr>
                <w:rFonts w:hint="eastAsia" w:ascii="宋体" w:hAnsi="宋体" w:eastAsia="宋体" w:cs="宋体"/>
                <w:i w:val="0"/>
                <w:iCs w:val="0"/>
                <w:color w:val="000000"/>
                <w:kern w:val="0"/>
                <w:sz w:val="24"/>
                <w:szCs w:val="24"/>
                <w:u w:val="none"/>
                <w:bdr w:val="none" w:color="auto" w:sz="0" w:space="0"/>
                <w:lang w:val="en-US" w:eastAsia="zh-CN" w:bidi="ar"/>
              </w:rPr>
              <w:t>元</w:t>
            </w:r>
          </w:p>
        </w:tc>
      </w:tr>
      <w:tr w14:paraId="1871A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845" w:type="dxa"/>
            <w:gridSpan w:val="8"/>
            <w:tcBorders>
              <w:top w:val="single" w:color="000000" w:sz="4" w:space="0"/>
              <w:left w:val="single" w:color="000000" w:sz="4" w:space="0"/>
              <w:bottom w:val="single" w:color="000000" w:sz="4" w:space="0"/>
              <w:right w:val="single" w:color="000000" w:sz="4" w:space="0"/>
            </w:tcBorders>
            <w:shd w:val="clear"/>
            <w:vAlign w:val="center"/>
          </w:tcPr>
          <w:p w14:paraId="01243B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注：以上报价含可抵扣的增值税专用发票、运费、以及卸货相关服务费用。</w:t>
            </w:r>
          </w:p>
        </w:tc>
      </w:tr>
      <w:tr w14:paraId="016F2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vAlign w:val="center"/>
          </w:tcPr>
          <w:p w14:paraId="1B75D5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是否接受保证金（控制价的2%）           </w:t>
            </w:r>
          </w:p>
        </w:tc>
        <w:tc>
          <w:tcPr>
            <w:tcW w:w="4650" w:type="dxa"/>
            <w:tcBorders>
              <w:top w:val="single" w:color="000000" w:sz="4" w:space="0"/>
              <w:left w:val="single" w:color="000000" w:sz="4" w:space="0"/>
              <w:bottom w:val="single" w:color="000000" w:sz="4" w:space="0"/>
              <w:right w:val="single" w:color="000000" w:sz="4" w:space="0"/>
            </w:tcBorders>
            <w:shd w:val="clear"/>
            <w:vAlign w:val="center"/>
          </w:tcPr>
          <w:p w14:paraId="718455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09D3C1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是否接受履约保证金（成交金额的10%）</w:t>
            </w:r>
          </w:p>
        </w:tc>
        <w:tc>
          <w:tcPr>
            <w:tcW w:w="4230" w:type="dxa"/>
            <w:gridSpan w:val="3"/>
            <w:tcBorders>
              <w:top w:val="single" w:color="000000" w:sz="4" w:space="0"/>
              <w:left w:val="nil"/>
              <w:bottom w:val="single" w:color="000000" w:sz="4" w:space="0"/>
              <w:right w:val="single" w:color="000000" w:sz="4" w:space="0"/>
            </w:tcBorders>
            <w:shd w:val="clear"/>
            <w:vAlign w:val="center"/>
          </w:tcPr>
          <w:p w14:paraId="3330262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F446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vAlign w:val="center"/>
          </w:tcPr>
          <w:p w14:paraId="466F33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质保期：             </w:t>
            </w:r>
          </w:p>
        </w:tc>
        <w:tc>
          <w:tcPr>
            <w:tcW w:w="4650" w:type="dxa"/>
            <w:tcBorders>
              <w:top w:val="single" w:color="000000" w:sz="4" w:space="0"/>
              <w:left w:val="single" w:color="000000" w:sz="4" w:space="0"/>
              <w:bottom w:val="single" w:color="000000" w:sz="4" w:space="0"/>
              <w:right w:val="single" w:color="000000" w:sz="4" w:space="0"/>
            </w:tcBorders>
            <w:shd w:val="clear"/>
            <w:vAlign w:val="center"/>
          </w:tcPr>
          <w:p w14:paraId="56C717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3年</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5C0381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报价有效期：</w:t>
            </w:r>
          </w:p>
        </w:tc>
        <w:tc>
          <w:tcPr>
            <w:tcW w:w="4230" w:type="dxa"/>
            <w:gridSpan w:val="3"/>
            <w:tcBorders>
              <w:top w:val="single" w:color="000000" w:sz="4" w:space="0"/>
              <w:left w:val="nil"/>
              <w:bottom w:val="single" w:color="000000" w:sz="4" w:space="0"/>
              <w:right w:val="single" w:color="000000" w:sz="4" w:space="0"/>
            </w:tcBorders>
            <w:shd w:val="clear"/>
            <w:vAlign w:val="center"/>
          </w:tcPr>
          <w:p w14:paraId="7588D2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FF4E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vAlign w:val="center"/>
          </w:tcPr>
          <w:p w14:paraId="681758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供货期：             </w:t>
            </w:r>
          </w:p>
        </w:tc>
        <w:tc>
          <w:tcPr>
            <w:tcW w:w="4650" w:type="dxa"/>
            <w:tcBorders>
              <w:top w:val="single" w:color="000000" w:sz="4" w:space="0"/>
              <w:left w:val="single" w:color="000000" w:sz="4" w:space="0"/>
              <w:bottom w:val="single" w:color="000000" w:sz="4" w:space="0"/>
              <w:right w:val="single" w:color="000000" w:sz="4" w:space="0"/>
            </w:tcBorders>
            <w:shd w:val="clear"/>
            <w:vAlign w:val="center"/>
          </w:tcPr>
          <w:p w14:paraId="72AD65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10天</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693A3C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付款方式</w:t>
            </w:r>
          </w:p>
        </w:tc>
        <w:tc>
          <w:tcPr>
            <w:tcW w:w="4230" w:type="dxa"/>
            <w:gridSpan w:val="3"/>
            <w:tcBorders>
              <w:top w:val="single" w:color="000000" w:sz="4" w:space="0"/>
              <w:left w:val="nil"/>
              <w:bottom w:val="single" w:color="000000" w:sz="4" w:space="0"/>
              <w:right w:val="single" w:color="000000" w:sz="4" w:space="0"/>
            </w:tcBorders>
            <w:shd w:val="clear"/>
            <w:vAlign w:val="center"/>
          </w:tcPr>
          <w:p w14:paraId="386C4E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合同签订后个7日内支付70%预付款，货到验收合格后1个月内付清其余的货款</w:t>
            </w:r>
          </w:p>
        </w:tc>
      </w:tr>
    </w:tbl>
    <w:p w14:paraId="4064602C">
      <w:pPr>
        <w:keepNext w:val="0"/>
        <w:keepLines w:val="0"/>
        <w:widowControl/>
        <w:suppressLineNumbers w:val="0"/>
        <w:ind w:left="0" w:leftChars="0" w:firstLine="0" w:firstLineChars="0"/>
        <w:jc w:val="center"/>
        <w:textAlignment w:val="center"/>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1、付款条件:合同签订后个7日内支付70%预付款，货到验收合格后1个月内付清其余的货款</w:t>
      </w:r>
      <w:r>
        <w:rPr>
          <w:rFonts w:hint="eastAsia" w:ascii="仿宋" w:hAnsi="仿宋" w:eastAsia="仿宋" w:cs="仿宋"/>
          <w:color w:val="auto"/>
          <w:sz w:val="24"/>
          <w:szCs w:val="24"/>
          <w:highlight w:val="none"/>
          <w:lang w:val="en-US" w:eastAsia="zh-CN"/>
        </w:rPr>
        <w:t>。注：付款时供应商须提供正规发票（因发票问题而导致无法正常付款的，责任由供应商自己承担）。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5B70C6"/>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06690F"/>
    <w:rsid w:val="115C3F6A"/>
    <w:rsid w:val="11CC2447"/>
    <w:rsid w:val="11F315DF"/>
    <w:rsid w:val="12BB3C49"/>
    <w:rsid w:val="133B07D3"/>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055896"/>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394C5B"/>
    <w:rsid w:val="2B6A410E"/>
    <w:rsid w:val="2B9E5DD1"/>
    <w:rsid w:val="2C761843"/>
    <w:rsid w:val="2D4E2C33"/>
    <w:rsid w:val="2DC647A7"/>
    <w:rsid w:val="2E1B2848"/>
    <w:rsid w:val="2E1C17E4"/>
    <w:rsid w:val="2E342253"/>
    <w:rsid w:val="2FA05CF7"/>
    <w:rsid w:val="300D6BCC"/>
    <w:rsid w:val="30246158"/>
    <w:rsid w:val="30A001AC"/>
    <w:rsid w:val="31140310"/>
    <w:rsid w:val="316F64A7"/>
    <w:rsid w:val="318F1FBE"/>
    <w:rsid w:val="33230EA1"/>
    <w:rsid w:val="337A506E"/>
    <w:rsid w:val="339B7C29"/>
    <w:rsid w:val="345319C9"/>
    <w:rsid w:val="34806859"/>
    <w:rsid w:val="35CB384D"/>
    <w:rsid w:val="362D741D"/>
    <w:rsid w:val="37A7439E"/>
    <w:rsid w:val="37CA2BC5"/>
    <w:rsid w:val="37F03342"/>
    <w:rsid w:val="38544E55"/>
    <w:rsid w:val="39064FC8"/>
    <w:rsid w:val="39963E4D"/>
    <w:rsid w:val="3A2C48CD"/>
    <w:rsid w:val="3A491A2A"/>
    <w:rsid w:val="3B0F7CBC"/>
    <w:rsid w:val="3B275F4B"/>
    <w:rsid w:val="3D2363DE"/>
    <w:rsid w:val="3DA64A40"/>
    <w:rsid w:val="3E015FF2"/>
    <w:rsid w:val="3E4F32EC"/>
    <w:rsid w:val="3E5157CB"/>
    <w:rsid w:val="3E6D1EE0"/>
    <w:rsid w:val="3F3D1F51"/>
    <w:rsid w:val="40130CAF"/>
    <w:rsid w:val="40490B34"/>
    <w:rsid w:val="420E65EA"/>
    <w:rsid w:val="421050D4"/>
    <w:rsid w:val="42A9416B"/>
    <w:rsid w:val="42BF1B92"/>
    <w:rsid w:val="435E2995"/>
    <w:rsid w:val="4380190E"/>
    <w:rsid w:val="43966372"/>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C10961"/>
    <w:rsid w:val="50F73FA0"/>
    <w:rsid w:val="515E18DF"/>
    <w:rsid w:val="51765D9A"/>
    <w:rsid w:val="517D0941"/>
    <w:rsid w:val="51BC7FA4"/>
    <w:rsid w:val="521C7398"/>
    <w:rsid w:val="52446C35"/>
    <w:rsid w:val="527E16D3"/>
    <w:rsid w:val="528B2778"/>
    <w:rsid w:val="52C14E18"/>
    <w:rsid w:val="5316709E"/>
    <w:rsid w:val="534B7B17"/>
    <w:rsid w:val="54AB554F"/>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7E31F8B"/>
    <w:rsid w:val="68577F92"/>
    <w:rsid w:val="698D373B"/>
    <w:rsid w:val="69FD1FFD"/>
    <w:rsid w:val="6A2B5BCA"/>
    <w:rsid w:val="6AA75C6E"/>
    <w:rsid w:val="6BB31049"/>
    <w:rsid w:val="6BF15785"/>
    <w:rsid w:val="6C1442B0"/>
    <w:rsid w:val="6CF430F2"/>
    <w:rsid w:val="6D3C0639"/>
    <w:rsid w:val="6DB96BEC"/>
    <w:rsid w:val="6E3C6E41"/>
    <w:rsid w:val="6F321DFD"/>
    <w:rsid w:val="6F575DD1"/>
    <w:rsid w:val="70155795"/>
    <w:rsid w:val="702E6762"/>
    <w:rsid w:val="70314EAA"/>
    <w:rsid w:val="7044602E"/>
    <w:rsid w:val="706B3AE0"/>
    <w:rsid w:val="70A15D8A"/>
    <w:rsid w:val="71270FB3"/>
    <w:rsid w:val="71E07B02"/>
    <w:rsid w:val="71F66174"/>
    <w:rsid w:val="72C34258"/>
    <w:rsid w:val="73CE218C"/>
    <w:rsid w:val="74396181"/>
    <w:rsid w:val="74AA472D"/>
    <w:rsid w:val="74B62277"/>
    <w:rsid w:val="768165E1"/>
    <w:rsid w:val="79DA1D09"/>
    <w:rsid w:val="7A182199"/>
    <w:rsid w:val="7A31327F"/>
    <w:rsid w:val="7A50273A"/>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 w:type="character" w:customStyle="1" w:styleId="51">
    <w:name w:val="font41"/>
    <w:basedOn w:val="26"/>
    <w:qFormat/>
    <w:uiPriority w:val="0"/>
    <w:rPr>
      <w:rFonts w:hint="eastAsia" w:ascii="宋体" w:hAnsi="宋体" w:eastAsia="宋体" w:cs="宋体"/>
      <w:color w:val="000000"/>
      <w:sz w:val="24"/>
      <w:szCs w:val="24"/>
      <w:u w:val="none"/>
    </w:rPr>
  </w:style>
  <w:style w:type="character" w:customStyle="1" w:styleId="52">
    <w:name w:val="font161"/>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5551</Words>
  <Characters>6285</Characters>
  <Lines>0</Lines>
  <Paragraphs>0</Paragraphs>
  <TotalTime>0</TotalTime>
  <ScaleCrop>false</ScaleCrop>
  <LinksUpToDate>false</LinksUpToDate>
  <CharactersWithSpaces>7045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2025-10-11T07:23:30Z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FEFF975A6AA843E8B5D004BDB6577552_13</vt:lpwstr>
  </property>
  <property fmtid="{D5CDD505-2E9C-101B-9397-08002B2CF9AE}" pid="4" name="KSOTemplateDocerSaveRecord">
    <vt:lpwstr>eyJoZGlkIjoiODQxOGI3YmU3NTI5MzUwZjkwOWVjODQ3NGEwZTRmNzciLCJ1c2VySWQiOiI2OTk3Mjg4NzkifQ==</vt:lpwstr>
  </property>
</Properties>
</file>