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2E90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cs="宋体"/>
          <w:b w:val="0"/>
          <w:bCs w:val="0"/>
          <w:i w:val="0"/>
          <w:iCs w:val="0"/>
          <w:caps w:val="0"/>
          <w:color w:val="000000"/>
          <w:spacing w:val="0"/>
          <w:sz w:val="24"/>
          <w:szCs w:val="24"/>
          <w:shd w:val="clear" w:color="auto" w:fill="FFFFFF"/>
          <w:lang w:val="en-US" w:eastAsia="zh-CN"/>
        </w:rPr>
      </w:pPr>
    </w:p>
    <w:p w14:paraId="54849465">
      <w:pPr>
        <w:rPr>
          <w:rFonts w:hint="eastAsia"/>
          <w:lang w:val="en-US" w:eastAsia="zh-CN"/>
        </w:rPr>
      </w:pPr>
    </w:p>
    <w:p w14:paraId="59C6CE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i w:val="0"/>
          <w:iCs w:val="0"/>
          <w:color w:val="000000"/>
          <w:kern w:val="0"/>
          <w:sz w:val="48"/>
          <w:szCs w:val="48"/>
          <w:u w:val="none"/>
          <w:lang w:val="en-US" w:eastAsia="zh-CN" w:bidi="ar"/>
        </w:rPr>
      </w:pPr>
    </w:p>
    <w:p w14:paraId="70503C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5000459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r>
        <w:rPr>
          <w:rFonts w:hint="eastAsia" w:ascii="宋体" w:hAnsi="宋体" w:eastAsia="宋体" w:cs="宋体"/>
          <w:b/>
          <w:i w:val="0"/>
          <w:iCs w:val="0"/>
          <w:color w:val="000000"/>
          <w:kern w:val="0"/>
          <w:sz w:val="48"/>
          <w:szCs w:val="48"/>
          <w:u w:val="none"/>
          <w:lang w:val="en-US" w:eastAsia="zh-CN" w:bidi="ar"/>
        </w:rPr>
        <w:t>警示教育系统设备采购询价文件</w:t>
      </w:r>
    </w:p>
    <w:p w14:paraId="0D1359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67C8B398">
      <w:pPr>
        <w:pStyle w:val="5"/>
        <w:numPr>
          <w:ilvl w:val="1"/>
          <w:numId w:val="0"/>
        </w:numPr>
        <w:bidi w:val="0"/>
        <w:jc w:val="both"/>
        <w:rPr>
          <w:rFonts w:hint="eastAsia" w:ascii="方正小标宋_GBK" w:hAnsi="方正小标宋_GBK" w:eastAsia="方正小标宋_GBK" w:cs="方正小标宋_GBK"/>
          <w:i w:val="0"/>
          <w:iCs w:val="0"/>
          <w:color w:val="000000"/>
          <w:kern w:val="0"/>
          <w:sz w:val="32"/>
          <w:szCs w:val="32"/>
          <w:u w:val="none"/>
          <w:lang w:val="en-US" w:eastAsia="zh-CN" w:bidi="ar"/>
        </w:rPr>
      </w:pPr>
    </w:p>
    <w:p w14:paraId="5C20983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2B0F4BCB">
      <w:pP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1DDA3B2E">
      <w:pPr>
        <w:pStyle w:val="22"/>
        <w:rPr>
          <w:rFonts w:hint="eastAsia"/>
          <w:lang w:val="en-US" w:eastAsia="zh-CN"/>
        </w:rPr>
      </w:pPr>
    </w:p>
    <w:p w14:paraId="36895F0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5415AD09">
      <w:pPr>
        <w:pStyle w:val="5"/>
        <w:numPr>
          <w:ilvl w:val="1"/>
          <w:numId w:val="0"/>
        </w:numPr>
        <w:bidi w:val="0"/>
        <w:ind w:left="0" w:leftChars="0" w:firstLine="0" w:firstLineChars="0"/>
        <w:jc w:val="left"/>
        <w:rPr>
          <w:rFonts w:hint="default"/>
          <w:lang w:val="en-US" w:eastAsia="zh-CN"/>
        </w:rPr>
      </w:pPr>
      <w:r>
        <w:rPr>
          <w:rFonts w:hint="eastAsia"/>
          <w:lang w:eastAsia="zh-CN"/>
        </w:rPr>
        <w:t>供</w:t>
      </w:r>
      <w:r>
        <w:rPr>
          <w:rFonts w:hint="eastAsia"/>
          <w:lang w:val="en-US" w:eastAsia="zh-CN"/>
        </w:rPr>
        <w:t xml:space="preserve">  </w:t>
      </w:r>
      <w:r>
        <w:rPr>
          <w:rFonts w:hint="eastAsia"/>
          <w:lang w:eastAsia="zh-CN"/>
        </w:rPr>
        <w:t>应</w:t>
      </w:r>
      <w:r>
        <w:rPr>
          <w:rFonts w:hint="eastAsia"/>
          <w:lang w:val="en-US" w:eastAsia="zh-CN"/>
        </w:rPr>
        <w:t xml:space="preserve">  </w:t>
      </w:r>
      <w:r>
        <w:rPr>
          <w:rFonts w:hint="eastAsia"/>
          <w:lang w:eastAsia="zh-CN"/>
        </w:rPr>
        <w:t>商：</w:t>
      </w:r>
      <w:r>
        <w:rPr>
          <w:rFonts w:hint="eastAsia"/>
          <w:u w:val="single"/>
          <w:lang w:val="en-US" w:eastAsia="zh-CN"/>
        </w:rPr>
        <w:t xml:space="preserve">                               </w:t>
      </w:r>
      <w:r>
        <w:rPr>
          <w:rFonts w:hint="eastAsia"/>
          <w:lang w:val="en-US" w:eastAsia="zh-CN"/>
        </w:rPr>
        <w:t xml:space="preserve"> </w:t>
      </w:r>
    </w:p>
    <w:p w14:paraId="191E3741">
      <w:pPr>
        <w:pStyle w:val="5"/>
        <w:numPr>
          <w:ilvl w:val="1"/>
          <w:numId w:val="0"/>
        </w:numPr>
        <w:bidi w:val="0"/>
        <w:ind w:left="0" w:leftChars="0" w:firstLine="0" w:firstLineChars="0"/>
        <w:jc w:val="left"/>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lang w:eastAsia="zh-CN"/>
        </w:rPr>
        <w:t>日</w:t>
      </w:r>
      <w:r>
        <w:rPr>
          <w:rFonts w:hint="eastAsia"/>
          <w:lang w:val="en-US" w:eastAsia="zh-CN"/>
        </w:rPr>
        <w:t xml:space="preserve">      </w:t>
      </w:r>
      <w:r>
        <w:rPr>
          <w:rFonts w:hint="eastAsia"/>
          <w:lang w:eastAsia="zh-CN"/>
        </w:rPr>
        <w:t>期：</w:t>
      </w:r>
      <w:r>
        <w:rPr>
          <w:rFonts w:hint="eastAsia"/>
          <w:u w:val="single"/>
          <w:lang w:val="en-US" w:eastAsia="zh-CN"/>
        </w:rPr>
        <w:t xml:space="preserve">                               </w:t>
      </w:r>
      <w:r>
        <w:rPr>
          <w:rFonts w:hint="eastAsia"/>
          <w:lang w:val="en-US" w:eastAsia="zh-CN"/>
        </w:rPr>
        <w:t xml:space="preserve"> </w:t>
      </w:r>
    </w:p>
    <w:p w14:paraId="6805A289">
      <w:pPr>
        <w:pStyle w:val="5"/>
        <w:numPr>
          <w:ilvl w:val="0"/>
          <w:numId w:val="2"/>
        </w:numPr>
        <w:bidi w:val="0"/>
        <w:ind w:left="0" w:leftChars="0" w:firstLine="420" w:firstLineChars="0"/>
        <w:jc w:val="center"/>
      </w:pPr>
      <w:r>
        <w:rPr>
          <w:rFonts w:hint="eastAsia"/>
        </w:rPr>
        <w:t>报 价 函</w:t>
      </w:r>
    </w:p>
    <w:p w14:paraId="70B63872">
      <w:pPr>
        <w:spacing w:line="360" w:lineRule="auto"/>
        <w:ind w:left="0" w:leftChars="0" w:firstLine="0" w:firstLineChars="0"/>
        <w:rPr>
          <w:rFonts w:hint="eastAsia"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江苏省淮安市保安服务有限公司</w:t>
      </w:r>
      <w:r>
        <w:rPr>
          <w:rFonts w:hint="eastAsia" w:ascii="仿宋" w:hAnsi="仿宋" w:eastAsia="仿宋" w:cs="仿宋"/>
          <w:b/>
          <w:bCs/>
          <w:sz w:val="28"/>
          <w:szCs w:val="28"/>
        </w:rPr>
        <w:t xml:space="preserve">   </w:t>
      </w:r>
    </w:p>
    <w:p w14:paraId="0C07CFE3">
      <w:pPr>
        <w:spacing w:line="360" w:lineRule="auto"/>
        <w:ind w:firstLine="480"/>
        <w:rPr>
          <w:rFonts w:hint="eastAsia" w:ascii="仿宋" w:hAnsi="仿宋" w:eastAsia="仿宋" w:cs="仿宋"/>
          <w:sz w:val="28"/>
          <w:szCs w:val="28"/>
        </w:rPr>
      </w:pPr>
    </w:p>
    <w:p w14:paraId="534E7D5B">
      <w:pPr>
        <w:spacing w:line="360" w:lineRule="auto"/>
        <w:ind w:firstLine="480"/>
        <w:rPr>
          <w:rFonts w:hint="eastAsia" w:ascii="仿宋" w:hAnsi="仿宋" w:eastAsia="仿宋" w:cs="仿宋"/>
          <w:sz w:val="28"/>
          <w:szCs w:val="28"/>
          <w:highlight w:val="none"/>
          <w:u w:val="single"/>
        </w:rPr>
      </w:pPr>
      <w:r>
        <w:rPr>
          <w:rFonts w:hint="eastAsia" w:ascii="仿宋" w:hAnsi="仿宋" w:eastAsia="仿宋" w:cs="仿宋"/>
          <w:sz w:val="28"/>
          <w:szCs w:val="28"/>
        </w:rPr>
        <w:t>关于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highlight w:val="none"/>
          <w:u w:val="single"/>
          <w:lang w:val="en-US" w:eastAsia="zh-CN"/>
        </w:rPr>
        <w:t xml:space="preserve">   （项目名称）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文件（包括补充文件，如果有的话），我们经详细审阅和研究，现决定参加询价。</w:t>
      </w:r>
    </w:p>
    <w:p w14:paraId="5B1E50B9">
      <w:pPr>
        <w:spacing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1. 我单位经研究上述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文件规定的各项要求和其他文件后，我方愿以人民币(大写)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)的报价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其中不含税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元，增值税税率：</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按上述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文件、合同条件、完成上述项目。</w:t>
      </w:r>
    </w:p>
    <w:p w14:paraId="042B99D9">
      <w:pPr>
        <w:spacing w:line="360" w:lineRule="auto"/>
        <w:ind w:firstLine="480"/>
        <w:rPr>
          <w:rFonts w:hint="eastAsia" w:ascii="仿宋" w:hAnsi="仿宋" w:eastAsia="仿宋" w:cs="仿宋"/>
          <w:sz w:val="28"/>
          <w:szCs w:val="28"/>
        </w:rPr>
      </w:pPr>
      <w:r>
        <w:rPr>
          <w:rFonts w:hint="eastAsia" w:ascii="仿宋" w:hAnsi="仿宋" w:eastAsia="仿宋" w:cs="仿宋"/>
          <w:sz w:val="28"/>
          <w:szCs w:val="28"/>
          <w:highlight w:val="none"/>
        </w:rPr>
        <w:t>注：</w:t>
      </w:r>
      <w:r>
        <w:rPr>
          <w:rFonts w:hint="eastAsia" w:ascii="仿宋" w:hAnsi="仿宋" w:eastAsia="仿宋" w:cs="仿宋"/>
          <w:color w:val="FF0000"/>
          <w:sz w:val="28"/>
          <w:szCs w:val="28"/>
          <w:highlight w:val="none"/>
          <w:lang w:val="en-US" w:eastAsia="zh-CN"/>
        </w:rPr>
        <w:t>不含税价=含税价/（1+增值税税率），</w:t>
      </w:r>
      <w:r>
        <w:rPr>
          <w:rFonts w:hint="eastAsia" w:ascii="仿宋" w:hAnsi="仿宋" w:eastAsia="仿宋" w:cs="仿宋"/>
          <w:sz w:val="28"/>
          <w:szCs w:val="28"/>
          <w:highlight w:val="none"/>
        </w:rPr>
        <w:t>报价中包含</w:t>
      </w:r>
      <w:r>
        <w:rPr>
          <w:rFonts w:hint="eastAsia" w:ascii="仿宋" w:hAnsi="仿宋" w:eastAsia="仿宋" w:cs="仿宋"/>
          <w:sz w:val="28"/>
          <w:szCs w:val="28"/>
          <w:highlight w:val="none"/>
          <w:lang w:val="en-US" w:eastAsia="zh-CN"/>
        </w:rPr>
        <w:t>报价清单设备、</w:t>
      </w:r>
      <w:r>
        <w:rPr>
          <w:rFonts w:hint="eastAsia" w:ascii="仿宋" w:hAnsi="仿宋" w:eastAsia="仿宋" w:cs="仿宋"/>
          <w:sz w:val="28"/>
          <w:szCs w:val="28"/>
          <w:highlight w:val="none"/>
        </w:rPr>
        <w:t>相关服务的价格及相</w:t>
      </w:r>
      <w:r>
        <w:rPr>
          <w:rFonts w:hint="eastAsia" w:ascii="仿宋" w:hAnsi="仿宋" w:eastAsia="仿宋" w:cs="仿宋"/>
          <w:sz w:val="28"/>
          <w:szCs w:val="28"/>
        </w:rPr>
        <w:t xml:space="preserve">关税费、出库费、运输到指定地点的装运费用等其他有关的所有费用。 </w:t>
      </w:r>
    </w:p>
    <w:p w14:paraId="4C55D677">
      <w:pPr>
        <w:spacing w:line="360" w:lineRule="auto"/>
        <w:ind w:firstLine="480"/>
        <w:rPr>
          <w:szCs w:val="24"/>
        </w:rPr>
      </w:pPr>
    </w:p>
    <w:p w14:paraId="026024D0">
      <w:pPr>
        <w:spacing w:line="360" w:lineRule="auto"/>
        <w:ind w:firstLine="480"/>
        <w:rPr>
          <w:szCs w:val="24"/>
        </w:rPr>
      </w:pPr>
    </w:p>
    <w:p w14:paraId="2612A76B">
      <w:pPr>
        <w:spacing w:line="360" w:lineRule="auto"/>
        <w:ind w:firstLine="480"/>
        <w:rPr>
          <w:rFonts w:hint="eastAsia" w:ascii="仿宋" w:hAnsi="仿宋" w:eastAsia="仿宋" w:cs="仿宋"/>
          <w:sz w:val="28"/>
          <w:szCs w:val="28"/>
        </w:rPr>
      </w:pPr>
    </w:p>
    <w:p w14:paraId="1E094713">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名称：（盖公章）：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4D2C9006">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法定代表人或委托代理人（签字/盖章）：</w:t>
      </w:r>
    </w:p>
    <w:p w14:paraId="12600F4D">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 xml:space="preserve">     </w:t>
      </w:r>
    </w:p>
    <w:p w14:paraId="1696001D">
      <w:pPr>
        <w:snapToGrid w:val="0"/>
        <w:spacing w:line="360" w:lineRule="auto"/>
        <w:ind w:left="0" w:leftChars="0" w:firstLine="2940" w:firstLineChars="1050"/>
        <w:rPr>
          <w:rFonts w:hint="eastAsia" w:ascii="仿宋" w:hAnsi="仿宋" w:eastAsia="仿宋" w:cs="仿宋"/>
          <w:sz w:val="28"/>
          <w:szCs w:val="28"/>
        </w:rPr>
      </w:pPr>
      <w:r>
        <w:rPr>
          <w:rFonts w:hint="eastAsia" w:ascii="仿宋" w:hAnsi="仿宋" w:eastAsia="仿宋" w:cs="仿宋"/>
          <w:sz w:val="28"/>
          <w:szCs w:val="28"/>
        </w:rPr>
        <w:t xml:space="preserve">          日期：   年   月   日</w:t>
      </w:r>
    </w:p>
    <w:p w14:paraId="64AEB254">
      <w:pPr>
        <w:pStyle w:val="5"/>
        <w:numPr>
          <w:ilvl w:val="1"/>
          <w:numId w:val="0"/>
        </w:numPr>
        <w:bidi w:val="0"/>
        <w:ind w:left="0" w:leftChars="0" w:firstLine="0" w:firstLineChars="0"/>
        <w:jc w:val="left"/>
        <w:rPr>
          <w:rFonts w:hint="eastAsia"/>
          <w:lang w:val="zh-CN" w:eastAsia="zh-CN"/>
        </w:rPr>
      </w:pPr>
      <w:r>
        <w:rPr>
          <w:rFonts w:hint="eastAsia"/>
          <w:lang w:val="zh-CN" w:eastAsia="zh-CN"/>
        </w:rPr>
        <w:t>二、</w:t>
      </w:r>
      <w:r>
        <w:rPr>
          <w:rFonts w:hint="eastAsia"/>
          <w:lang w:val="en-US" w:eastAsia="zh-CN"/>
        </w:rPr>
        <w:t>供应商</w:t>
      </w:r>
      <w:r>
        <w:rPr>
          <w:rFonts w:hint="eastAsia"/>
          <w:lang w:val="zh-CN" w:eastAsia="zh-CN"/>
        </w:rPr>
        <w:t>需提供的资料</w:t>
      </w:r>
    </w:p>
    <w:p w14:paraId="4F2EA8F8">
      <w:pPr>
        <w:pStyle w:val="5"/>
        <w:pageBreakBefore w:val="0"/>
        <w:widowControl w:val="0"/>
        <w:numPr>
          <w:ilvl w:val="0"/>
          <w:numId w:val="0"/>
        </w:numPr>
        <w:kinsoku/>
        <w:wordWrap/>
        <w:overflowPunct/>
        <w:topLinePunct w:val="0"/>
        <w:bidi w:val="0"/>
        <w:snapToGrid/>
        <w:spacing w:line="360" w:lineRule="auto"/>
        <w:ind w:left="420" w:leftChars="0"/>
        <w:jc w:val="center"/>
        <w:textAlignment w:val="auto"/>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2.1</w:t>
      </w:r>
      <w:r>
        <w:rPr>
          <w:rFonts w:hint="eastAsia" w:ascii="仿宋" w:hAnsi="仿宋" w:eastAsia="仿宋" w:cs="仿宋"/>
          <w:b/>
          <w:bCs/>
          <w:kern w:val="2"/>
          <w:sz w:val="28"/>
          <w:szCs w:val="28"/>
          <w:lang w:val="zh-CN" w:eastAsia="zh-CN" w:bidi="ar-SA"/>
        </w:rPr>
        <w:t>、法定代表人资格证明</w:t>
      </w:r>
    </w:p>
    <w:p w14:paraId="1C696F75">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供应商名称：</w:t>
      </w:r>
    </w:p>
    <w:p w14:paraId="216A41DB">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供应商地址：</w:t>
      </w:r>
    </w:p>
    <w:p w14:paraId="64DB30A0">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姓名：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年龄：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 </w:t>
      </w:r>
    </w:p>
    <w:p w14:paraId="0C409F2D">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bCs/>
          <w:sz w:val="28"/>
          <w:szCs w:val="28"/>
        </w:rPr>
      </w:pPr>
      <w:r>
        <w:rPr>
          <w:rFonts w:hint="eastAsia" w:ascii="仿宋" w:hAnsi="仿宋" w:eastAsia="仿宋" w:cs="仿宋"/>
          <w:sz w:val="28"/>
          <w:szCs w:val="28"/>
          <w:lang w:val="zh-CN"/>
        </w:rPr>
        <w:t xml:space="preserve">性别： </w:t>
      </w:r>
      <w:r>
        <w:rPr>
          <w:rFonts w:hint="eastAsia" w:ascii="仿宋" w:hAnsi="仿宋" w:eastAsia="仿宋" w:cs="仿宋"/>
          <w:sz w:val="28"/>
          <w:szCs w:val="28"/>
        </w:rPr>
        <w:t xml:space="preserve">             </w:t>
      </w:r>
      <w:r>
        <w:rPr>
          <w:rFonts w:hint="eastAsia" w:ascii="仿宋" w:hAnsi="仿宋" w:eastAsia="仿宋" w:cs="仿宋"/>
          <w:sz w:val="28"/>
          <w:szCs w:val="28"/>
          <w:lang w:val="zh-CN"/>
        </w:rPr>
        <w:t>职务：</w:t>
      </w:r>
      <w:r>
        <w:rPr>
          <w:rFonts w:hint="eastAsia" w:ascii="仿宋" w:hAnsi="仿宋" w:eastAsia="仿宋" w:cs="仿宋"/>
          <w:sz w:val="28"/>
          <w:szCs w:val="28"/>
        </w:rPr>
        <w:t xml:space="preserve"> </w:t>
      </w:r>
    </w:p>
    <w:p w14:paraId="4E31C602">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sz w:val="28"/>
          <w:szCs w:val="28"/>
        </w:rPr>
      </w:pPr>
      <w:r>
        <w:rPr>
          <w:rFonts w:hint="eastAsia" w:ascii="仿宋" w:hAnsi="仿宋" w:eastAsia="仿宋" w:cs="仿宋"/>
          <w:sz w:val="28"/>
          <w:szCs w:val="28"/>
          <w:lang w:val="zh-CN"/>
        </w:rPr>
        <w:t xml:space="preserve">系 </w:t>
      </w:r>
      <w:r>
        <w:rPr>
          <w:rFonts w:hint="eastAsia" w:ascii="仿宋" w:hAnsi="仿宋" w:eastAsia="仿宋" w:cs="仿宋"/>
          <w:sz w:val="28"/>
          <w:szCs w:val="28"/>
          <w:u w:val="single"/>
          <w:lang w:val="zh-CN"/>
        </w:rPr>
        <w:t xml:space="preserve">                （供应商名称）</w:t>
      </w:r>
      <w:r>
        <w:rPr>
          <w:rFonts w:hint="eastAsia" w:ascii="仿宋" w:hAnsi="仿宋" w:eastAsia="仿宋" w:cs="仿宋"/>
          <w:sz w:val="28"/>
          <w:szCs w:val="28"/>
          <w:lang w:val="zh-CN"/>
        </w:rPr>
        <w:t>的法</w:t>
      </w:r>
      <w:r>
        <w:rPr>
          <w:rFonts w:hint="eastAsia" w:ascii="仿宋" w:hAnsi="仿宋" w:eastAsia="仿宋" w:cs="仿宋"/>
          <w:sz w:val="28"/>
          <w:szCs w:val="28"/>
        </w:rPr>
        <w:t>定代表人。</w:t>
      </w:r>
    </w:p>
    <w:p w14:paraId="155BBD59">
      <w:pPr>
        <w:pageBreakBefore w:val="0"/>
        <w:widowControl w:val="0"/>
        <w:kinsoku/>
        <w:wordWrap/>
        <w:overflowPunct/>
        <w:topLinePunct w:val="0"/>
        <w:bidi w:val="0"/>
        <w:snapToGrid/>
        <w:spacing w:line="360" w:lineRule="auto"/>
        <w:ind w:firstLine="480"/>
        <w:textAlignment w:val="auto"/>
        <w:rPr>
          <w:rFonts w:hint="eastAsia" w:ascii="仿宋" w:hAnsi="仿宋" w:eastAsia="仿宋" w:cs="仿宋"/>
          <w:sz w:val="28"/>
          <w:szCs w:val="28"/>
          <w:lang w:val="zh-CN"/>
        </w:rPr>
      </w:pPr>
    </w:p>
    <w:p w14:paraId="1A92B3C6">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特此证明。</w:t>
      </w:r>
    </w:p>
    <w:p w14:paraId="6E19C44A">
      <w:pPr>
        <w:pageBreakBefore w:val="0"/>
        <w:widowControl w:val="0"/>
        <w:kinsoku/>
        <w:wordWrap/>
        <w:overflowPunct/>
        <w:topLinePunct w:val="0"/>
        <w:autoSpaceDE w:val="0"/>
        <w:autoSpaceDN w:val="0"/>
        <w:bidi w:val="0"/>
        <w:adjustRightInd w:val="0"/>
        <w:snapToGrid/>
        <w:spacing w:line="360" w:lineRule="auto"/>
        <w:ind w:firstLine="5040" w:firstLineChars="18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w:t>
      </w:r>
      <w:r>
        <w:rPr>
          <w:rFonts w:hint="eastAsia" w:ascii="仿宋" w:hAnsi="仿宋" w:eastAsia="仿宋" w:cs="仿宋"/>
          <w:sz w:val="28"/>
          <w:szCs w:val="28"/>
        </w:rPr>
        <w:t>名称</w:t>
      </w:r>
      <w:r>
        <w:rPr>
          <w:rFonts w:hint="eastAsia" w:ascii="仿宋" w:hAnsi="仿宋" w:eastAsia="仿宋" w:cs="仿宋"/>
          <w:sz w:val="28"/>
          <w:szCs w:val="28"/>
          <w:lang w:val="zh-CN"/>
        </w:rPr>
        <w:t>： (盖公章)</w:t>
      </w:r>
    </w:p>
    <w:p w14:paraId="2D3B100C">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                                日期：</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 </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w:t>
      </w:r>
    </w:p>
    <w:p w14:paraId="79CCEA86">
      <w:pPr>
        <w:ind w:firstLine="482"/>
        <w:rPr>
          <w:rFonts w:hint="eastAsia" w:ascii="仿宋" w:hAnsi="仿宋" w:eastAsia="仿宋" w:cs="仿宋"/>
          <w:b/>
          <w:bCs/>
          <w:sz w:val="28"/>
          <w:szCs w:val="28"/>
          <w:lang w:val="zh-CN"/>
        </w:rPr>
      </w:pPr>
    </w:p>
    <w:p w14:paraId="32D78018">
      <w:pPr>
        <w:ind w:firstLine="482"/>
        <w:rPr>
          <w:rFonts w:hint="eastAsia" w:ascii="仿宋" w:hAnsi="仿宋" w:eastAsia="仿宋" w:cs="仿宋"/>
          <w:b/>
          <w:bCs/>
          <w:color w:val="FF0000"/>
          <w:sz w:val="28"/>
          <w:szCs w:val="28"/>
          <w:lang w:val="zh-CN"/>
        </w:rPr>
      </w:pPr>
      <w:r>
        <w:rPr>
          <w:rFonts w:hint="eastAsia" w:ascii="仿宋" w:hAnsi="仿宋" w:eastAsia="仿宋" w:cs="仿宋"/>
          <w:b/>
          <w:bCs/>
          <w:sz w:val="28"/>
          <w:szCs w:val="28"/>
          <w:lang w:val="zh-CN"/>
        </w:rPr>
        <w:t>注:供应商法定代表人参加报价，必须附法定代表人身份证复印件并加盖供应商公章后装订在报价文件。</w:t>
      </w:r>
      <w:r>
        <w:rPr>
          <w:rFonts w:hint="eastAsia" w:ascii="仿宋" w:hAnsi="仿宋" w:eastAsia="仿宋" w:cs="仿宋"/>
          <w:b/>
          <w:bCs/>
          <w:color w:val="FF0000"/>
          <w:sz w:val="28"/>
          <w:szCs w:val="28"/>
          <w:lang w:val="zh-CN"/>
        </w:rPr>
        <w:t>法定代表人授权其他人参加</w:t>
      </w:r>
      <w:r>
        <w:rPr>
          <w:rFonts w:hint="eastAsia" w:ascii="仿宋" w:hAnsi="仿宋" w:eastAsia="仿宋" w:cs="仿宋"/>
          <w:b/>
          <w:bCs/>
          <w:color w:val="FF0000"/>
          <w:sz w:val="28"/>
          <w:szCs w:val="28"/>
          <w:lang w:val="en-US" w:eastAsia="zh-CN"/>
        </w:rPr>
        <w:t>报价</w:t>
      </w:r>
      <w:r>
        <w:rPr>
          <w:rFonts w:hint="eastAsia" w:ascii="仿宋" w:hAnsi="仿宋" w:eastAsia="仿宋" w:cs="仿宋"/>
          <w:b/>
          <w:bCs/>
          <w:color w:val="FF0000"/>
          <w:sz w:val="28"/>
          <w:szCs w:val="28"/>
          <w:lang w:val="zh-CN"/>
        </w:rPr>
        <w:t>的，仅需填写“授权委托书”。</w:t>
      </w:r>
    </w:p>
    <w:p w14:paraId="230DC26A">
      <w:pPr>
        <w:ind w:firstLine="482"/>
        <w:rPr>
          <w:rFonts w:hint="eastAsia" w:ascii="仿宋" w:hAnsi="仿宋" w:eastAsia="仿宋" w:cs="仿宋"/>
          <w:b/>
          <w:bCs/>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C59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45A21221">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78B441EF">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0EBC947F">
      <w:pPr>
        <w:ind w:firstLine="643"/>
        <w:rPr>
          <w:rFonts w:hint="eastAsia" w:ascii="仿宋" w:hAnsi="仿宋" w:eastAsia="仿宋" w:cs="仿宋"/>
          <w:b/>
          <w:sz w:val="32"/>
          <w:szCs w:val="32"/>
        </w:rPr>
      </w:pPr>
      <w:r>
        <w:rPr>
          <w:rFonts w:hint="eastAsia" w:ascii="仿宋" w:hAnsi="仿宋" w:eastAsia="仿宋" w:cs="仿宋"/>
          <w:b/>
          <w:sz w:val="32"/>
          <w:szCs w:val="32"/>
        </w:rPr>
        <w:br w:type="page"/>
      </w:r>
    </w:p>
    <w:p w14:paraId="48145DCC">
      <w:pPr>
        <w:pStyle w:val="5"/>
        <w:numPr>
          <w:ilvl w:val="0"/>
          <w:numId w:val="0"/>
        </w:numPr>
        <w:ind w:left="420" w:leftChars="0"/>
        <w:jc w:val="center"/>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2.2</w:t>
      </w:r>
      <w:r>
        <w:rPr>
          <w:rFonts w:hint="eastAsia" w:ascii="仿宋" w:hAnsi="仿宋" w:eastAsia="仿宋" w:cs="仿宋"/>
          <w:b/>
          <w:bCs/>
          <w:kern w:val="2"/>
          <w:sz w:val="28"/>
          <w:szCs w:val="28"/>
          <w:lang w:val="zh-CN" w:eastAsia="zh-CN" w:bidi="ar-SA"/>
        </w:rPr>
        <w:t>、授权委托书</w:t>
      </w:r>
    </w:p>
    <w:p w14:paraId="654E53DB">
      <w:pPr>
        <w:rPr>
          <w:rFonts w:hint="eastAsia"/>
          <w:lang w:val="zh-CN" w:eastAsia="zh-CN"/>
        </w:rPr>
      </w:pPr>
    </w:p>
    <w:p w14:paraId="07EEA6BC">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u w:val="single"/>
        </w:rPr>
      </w:pPr>
      <w:r>
        <w:rPr>
          <w:rFonts w:hint="eastAsia" w:ascii="仿宋" w:hAnsi="仿宋" w:eastAsia="仿宋" w:cs="仿宋"/>
          <w:snapToGrid w:val="0"/>
          <w:sz w:val="28"/>
          <w:szCs w:val="28"/>
        </w:rPr>
        <w:t>本授权委托书声明：我</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w:t>
      </w:r>
      <w:r>
        <w:rPr>
          <w:rFonts w:hint="eastAsia" w:ascii="仿宋" w:hAnsi="仿宋" w:eastAsia="仿宋" w:cs="仿宋"/>
          <w:sz w:val="28"/>
          <w:szCs w:val="28"/>
          <w:u w:val="single"/>
        </w:rPr>
        <w:t>)</w:t>
      </w:r>
      <w:r>
        <w:rPr>
          <w:rFonts w:hint="eastAsia" w:ascii="仿宋" w:hAnsi="仿宋" w:eastAsia="仿宋" w:cs="仿宋"/>
          <w:snapToGrid w:val="0"/>
          <w:sz w:val="28"/>
          <w:szCs w:val="28"/>
        </w:rPr>
        <w:t>系</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rPr>
        <w:t>的法定代表人，现授权委托</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姓名及身份证号</w:t>
      </w:r>
      <w:r>
        <w:rPr>
          <w:rFonts w:hint="eastAsia" w:ascii="仿宋" w:hAnsi="仿宋" w:eastAsia="仿宋" w:cs="仿宋"/>
          <w:sz w:val="28"/>
          <w:szCs w:val="28"/>
          <w:u w:val="single"/>
        </w:rPr>
        <w:t>)</w:t>
      </w:r>
      <w:r>
        <w:rPr>
          <w:rFonts w:hint="eastAsia" w:ascii="仿宋" w:hAnsi="仿宋" w:eastAsia="仿宋" w:cs="仿宋"/>
          <w:snapToGrid w:val="0"/>
          <w:sz w:val="28"/>
          <w:szCs w:val="28"/>
        </w:rPr>
        <w:t>为我单位委托代理人，以本单</w:t>
      </w:r>
      <w:r>
        <w:rPr>
          <w:rFonts w:hint="eastAsia" w:ascii="仿宋" w:hAnsi="仿宋" w:eastAsia="仿宋" w:cs="仿宋"/>
          <w:sz w:val="28"/>
          <w:szCs w:val="28"/>
        </w:rPr>
        <w:t>位的名义参加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（项目名称） 询价</w:t>
      </w:r>
      <w:r>
        <w:rPr>
          <w:rFonts w:hint="eastAsia" w:ascii="仿宋" w:hAnsi="仿宋" w:eastAsia="仿宋" w:cs="仿宋"/>
          <w:snapToGrid w:val="0"/>
          <w:sz w:val="28"/>
          <w:szCs w:val="28"/>
        </w:rPr>
        <w:t>活动。委托代理人在</w:t>
      </w:r>
      <w:r>
        <w:rPr>
          <w:rFonts w:hint="eastAsia" w:ascii="仿宋" w:hAnsi="仿宋" w:eastAsia="仿宋" w:cs="仿宋"/>
          <w:sz w:val="28"/>
          <w:szCs w:val="28"/>
        </w:rPr>
        <w:t>签署上述项目的报价文件、进行报价、签署合同和处理与之有关</w:t>
      </w:r>
      <w:r>
        <w:rPr>
          <w:rFonts w:hint="eastAsia" w:ascii="仿宋" w:hAnsi="仿宋" w:eastAsia="仿宋" w:cs="仿宋"/>
          <w:sz w:val="28"/>
          <w:szCs w:val="28"/>
          <w:lang w:val="zh-CN"/>
        </w:rPr>
        <w:t>的一切事务，</w:t>
      </w:r>
      <w:r>
        <w:rPr>
          <w:rFonts w:hint="eastAsia" w:ascii="仿宋" w:hAnsi="仿宋" w:eastAsia="仿宋" w:cs="仿宋"/>
          <w:snapToGrid w:val="0"/>
          <w:sz w:val="28"/>
          <w:szCs w:val="28"/>
        </w:rPr>
        <w:t>我及</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 xml:space="preserve">       </w:t>
      </w:r>
      <w:r>
        <w:rPr>
          <w:rFonts w:hint="eastAsia" w:ascii="仿宋" w:hAnsi="仿宋" w:eastAsia="仿宋" w:cs="仿宋"/>
          <w:snapToGrid w:val="0"/>
          <w:sz w:val="28"/>
          <w:szCs w:val="28"/>
        </w:rPr>
        <w:t>均予以承认。</w:t>
      </w:r>
    </w:p>
    <w:p w14:paraId="6B0AAB9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委托代理人无转委权。</w:t>
      </w:r>
    </w:p>
    <w:p w14:paraId="0BE85FC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napToGrid w:val="0"/>
          <w:sz w:val="28"/>
          <w:szCs w:val="28"/>
        </w:rPr>
        <w:t>特此委托。</w:t>
      </w:r>
    </w:p>
    <w:p w14:paraId="31468DD0">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left="730" w:leftChars="304" w:firstLine="480"/>
        <w:textAlignment w:val="auto"/>
        <w:rPr>
          <w:rFonts w:hint="eastAsia" w:ascii="仿宋" w:hAnsi="仿宋" w:eastAsia="仿宋" w:cs="仿宋"/>
          <w:snapToGrid w:val="0"/>
          <w:sz w:val="28"/>
          <w:szCs w:val="28"/>
        </w:rPr>
      </w:pPr>
    </w:p>
    <w:p w14:paraId="1AE2C8ED">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lang w:eastAsia="zh-CN"/>
        </w:rPr>
        <w:t>供应商</w:t>
      </w:r>
      <w:r>
        <w:rPr>
          <w:rFonts w:hint="eastAsia" w:ascii="仿宋" w:hAnsi="仿宋" w:eastAsia="仿宋" w:cs="仿宋"/>
          <w:snapToGrid w:val="0"/>
          <w:sz w:val="28"/>
          <w:szCs w:val="28"/>
        </w:rPr>
        <w:t>名称：</w:t>
      </w:r>
      <w:r>
        <w:rPr>
          <w:rFonts w:hint="eastAsia" w:ascii="仿宋" w:hAnsi="仿宋" w:eastAsia="仿宋" w:cs="仿宋"/>
          <w:sz w:val="28"/>
          <w:szCs w:val="28"/>
        </w:rPr>
        <w:t>(</w:t>
      </w:r>
      <w:r>
        <w:rPr>
          <w:rFonts w:hint="eastAsia" w:ascii="仿宋" w:hAnsi="仿宋" w:eastAsia="仿宋" w:cs="仿宋"/>
          <w:snapToGrid w:val="0"/>
          <w:sz w:val="28"/>
          <w:szCs w:val="28"/>
        </w:rPr>
        <w:t>盖公章</w:t>
      </w:r>
      <w:r>
        <w:rPr>
          <w:rFonts w:hint="eastAsia" w:ascii="仿宋" w:hAnsi="仿宋" w:eastAsia="仿宋" w:cs="仿宋"/>
          <w:sz w:val="28"/>
          <w:szCs w:val="28"/>
        </w:rPr>
        <w:t>)</w:t>
      </w:r>
    </w:p>
    <w:p w14:paraId="772BFA37">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rPr>
        <w:t>法定代表人：</w:t>
      </w:r>
      <w:r>
        <w:rPr>
          <w:rFonts w:hint="eastAsia" w:ascii="仿宋" w:hAnsi="仿宋" w:eastAsia="仿宋" w:cs="仿宋"/>
          <w:sz w:val="28"/>
          <w:szCs w:val="28"/>
        </w:rPr>
        <w:t>(</w:t>
      </w:r>
      <w:r>
        <w:rPr>
          <w:rFonts w:hint="eastAsia" w:ascii="仿宋" w:hAnsi="仿宋" w:eastAsia="仿宋" w:cs="仿宋"/>
          <w:snapToGrid w:val="0"/>
          <w:sz w:val="28"/>
          <w:szCs w:val="28"/>
        </w:rPr>
        <w:t>签字/盖章</w:t>
      </w:r>
      <w:r>
        <w:rPr>
          <w:rFonts w:hint="eastAsia" w:ascii="仿宋" w:hAnsi="仿宋" w:eastAsia="仿宋" w:cs="仿宋"/>
          <w:sz w:val="28"/>
          <w:szCs w:val="28"/>
        </w:rPr>
        <w:t xml:space="preserve">) </w:t>
      </w:r>
    </w:p>
    <w:p w14:paraId="321717F0">
      <w:pPr>
        <w:keepNext w:val="0"/>
        <w:keepLines w:val="0"/>
        <w:pageBreakBefore w:val="0"/>
        <w:widowControl w:val="0"/>
        <w:kinsoku/>
        <w:wordWrap/>
        <w:overflowPunct/>
        <w:topLinePunct w:val="0"/>
        <w:autoSpaceDE/>
        <w:autoSpaceDN/>
        <w:bidi w:val="0"/>
        <w:snapToGrid w:val="0"/>
        <w:spacing w:line="360" w:lineRule="auto"/>
        <w:ind w:firstLine="5040" w:firstLineChars="1800"/>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日期：</w:t>
      </w:r>
      <w:r>
        <w:rPr>
          <w:rFonts w:hint="eastAsia" w:ascii="仿宋" w:hAnsi="仿宋" w:eastAsia="仿宋" w:cs="仿宋"/>
          <w:sz w:val="28"/>
          <w:szCs w:val="28"/>
        </w:rPr>
        <w:t xml:space="preserve">   </w:t>
      </w:r>
      <w:r>
        <w:rPr>
          <w:rFonts w:hint="eastAsia" w:ascii="仿宋" w:hAnsi="仿宋" w:eastAsia="仿宋" w:cs="仿宋"/>
          <w:snapToGrid w:val="0"/>
          <w:sz w:val="28"/>
          <w:szCs w:val="28"/>
        </w:rPr>
        <w:t>年</w:t>
      </w:r>
      <w:r>
        <w:rPr>
          <w:rFonts w:hint="eastAsia" w:ascii="仿宋" w:hAnsi="仿宋" w:eastAsia="仿宋" w:cs="仿宋"/>
          <w:sz w:val="28"/>
          <w:szCs w:val="28"/>
        </w:rPr>
        <w:t xml:space="preserve">   </w:t>
      </w:r>
      <w:r>
        <w:rPr>
          <w:rFonts w:hint="eastAsia" w:ascii="仿宋" w:hAnsi="仿宋" w:eastAsia="仿宋" w:cs="仿宋"/>
          <w:snapToGrid w:val="0"/>
          <w:sz w:val="28"/>
          <w:szCs w:val="28"/>
        </w:rPr>
        <w:t>月</w:t>
      </w:r>
      <w:r>
        <w:rPr>
          <w:rFonts w:hint="eastAsia" w:ascii="仿宋" w:hAnsi="仿宋" w:eastAsia="仿宋" w:cs="仿宋"/>
          <w:sz w:val="28"/>
          <w:szCs w:val="28"/>
        </w:rPr>
        <w:t xml:space="preserve">   </w:t>
      </w:r>
      <w:r>
        <w:rPr>
          <w:rFonts w:hint="eastAsia" w:ascii="仿宋" w:hAnsi="仿宋" w:eastAsia="仿宋" w:cs="仿宋"/>
          <w:snapToGrid w:val="0"/>
          <w:sz w:val="28"/>
          <w:szCs w:val="28"/>
        </w:rPr>
        <w:t>日</w:t>
      </w:r>
    </w:p>
    <w:p w14:paraId="0D580553">
      <w:pPr>
        <w:spacing w:line="400" w:lineRule="exact"/>
        <w:ind w:firstLine="482"/>
        <w:rPr>
          <w:rFonts w:hint="eastAsia" w:ascii="仿宋" w:hAnsi="仿宋" w:eastAsia="仿宋" w:cs="仿宋"/>
          <w:b/>
          <w:color w:val="FF0000"/>
          <w:sz w:val="28"/>
          <w:szCs w:val="28"/>
        </w:rPr>
      </w:pPr>
      <w:r>
        <w:rPr>
          <w:rFonts w:hint="eastAsia" w:ascii="仿宋" w:hAnsi="仿宋" w:eastAsia="仿宋" w:cs="仿宋"/>
          <w:b/>
          <w:sz w:val="28"/>
          <w:szCs w:val="28"/>
        </w:rPr>
        <w:t>注:</w:t>
      </w:r>
      <w:r>
        <w:rPr>
          <w:rFonts w:hint="eastAsia" w:ascii="仿宋" w:hAnsi="仿宋" w:eastAsia="仿宋" w:cs="仿宋"/>
          <w:b/>
          <w:sz w:val="28"/>
          <w:szCs w:val="28"/>
          <w:lang w:eastAsia="zh-CN"/>
        </w:rPr>
        <w:t>供应商</w:t>
      </w:r>
      <w:r>
        <w:rPr>
          <w:rFonts w:hint="eastAsia" w:ascii="仿宋" w:hAnsi="仿宋" w:eastAsia="仿宋" w:cs="仿宋"/>
          <w:b/>
          <w:sz w:val="28"/>
          <w:szCs w:val="28"/>
        </w:rPr>
        <w:t>委托代理人参加报价的，必须附委托代理人身份证复印件并加盖委托单位公章后装订在报价文件。</w:t>
      </w:r>
      <w:r>
        <w:rPr>
          <w:rFonts w:hint="eastAsia" w:ascii="仿宋" w:hAnsi="仿宋" w:eastAsia="仿宋" w:cs="仿宋"/>
          <w:b/>
          <w:color w:val="FF0000"/>
          <w:sz w:val="28"/>
          <w:szCs w:val="28"/>
        </w:rPr>
        <w:t>法定代表人直接参加</w:t>
      </w:r>
      <w:r>
        <w:rPr>
          <w:rFonts w:hint="eastAsia" w:ascii="仿宋" w:hAnsi="仿宋" w:eastAsia="仿宋" w:cs="仿宋"/>
          <w:b/>
          <w:color w:val="FF0000"/>
          <w:sz w:val="28"/>
          <w:szCs w:val="28"/>
          <w:lang w:val="en-US" w:eastAsia="zh-CN"/>
        </w:rPr>
        <w:t>报价</w:t>
      </w:r>
      <w:r>
        <w:rPr>
          <w:rFonts w:hint="eastAsia" w:ascii="仿宋" w:hAnsi="仿宋" w:eastAsia="仿宋" w:cs="仿宋"/>
          <w:b/>
          <w:color w:val="FF0000"/>
          <w:sz w:val="28"/>
          <w:szCs w:val="28"/>
        </w:rPr>
        <w:t>的，仅需填写“法定代表人资格证明”。</w:t>
      </w:r>
    </w:p>
    <w:p w14:paraId="49EF9FC6">
      <w:pPr>
        <w:autoSpaceDE w:val="0"/>
        <w:autoSpaceDN w:val="0"/>
        <w:adjustRightInd w:val="0"/>
        <w:ind w:firstLine="482"/>
        <w:rPr>
          <w:rFonts w:hint="eastAsia" w:ascii="仿宋" w:hAnsi="仿宋" w:eastAsia="仿宋" w:cs="仿宋"/>
          <w:b/>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FFF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00809DBA">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4A473947">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569E2937">
      <w:pPr>
        <w:rPr>
          <w:rFonts w:hint="eastAsia"/>
        </w:rPr>
      </w:pPr>
      <w:r>
        <w:rPr>
          <w:rFonts w:hint="eastAsia"/>
        </w:rPr>
        <w:br w:type="page"/>
      </w:r>
    </w:p>
    <w:p w14:paraId="4C8DC2E3">
      <w:pPr>
        <w:pStyle w:val="15"/>
        <w:rPr>
          <w:rFonts w:hint="eastAsia"/>
        </w:rPr>
        <w:sectPr>
          <w:pgSz w:w="11906" w:h="16838"/>
          <w:pgMar w:top="1440" w:right="1800" w:bottom="1440" w:left="1800" w:header="851" w:footer="992" w:gutter="0"/>
          <w:cols w:space="425" w:num="1"/>
          <w:docGrid w:type="lines" w:linePitch="312" w:charSpace="0"/>
        </w:sectPr>
      </w:pPr>
    </w:p>
    <w:p w14:paraId="775733FD">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2.3、营业执照（加盖公章）</w:t>
      </w:r>
    </w:p>
    <w:p w14:paraId="03E1B578">
      <w:pPr>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p>
    <w:p w14:paraId="04905235">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kern w:val="2"/>
          <w:sz w:val="28"/>
          <w:szCs w:val="28"/>
          <w:lang w:val="en-US" w:eastAsia="zh-CN" w:bidi="ar-SA"/>
        </w:rPr>
        <w:t>2.4、原厂授权（加盖公章）</w:t>
      </w:r>
    </w:p>
    <w:tbl>
      <w:tblPr>
        <w:tblStyle w:val="24"/>
        <w:tblW w:w="128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695"/>
        <w:gridCol w:w="4140"/>
        <w:gridCol w:w="1080"/>
        <w:gridCol w:w="1080"/>
        <w:gridCol w:w="1080"/>
        <w:gridCol w:w="1155"/>
        <w:gridCol w:w="1500"/>
      </w:tblGrid>
      <w:tr w14:paraId="29A1C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2810" w:type="dxa"/>
            <w:gridSpan w:val="8"/>
            <w:tcBorders>
              <w:top w:val="nil"/>
              <w:left w:val="nil"/>
              <w:bottom w:val="nil"/>
              <w:right w:val="nil"/>
            </w:tcBorders>
            <w:shd w:val="clear" w:color="auto" w:fill="auto"/>
            <w:vAlign w:val="center"/>
          </w:tcPr>
          <w:p w14:paraId="545CF5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方正小标宋_GBK" w:hAnsi="方正小标宋_GBK" w:eastAsia="方正小标宋_GBK" w:cs="方正小标宋_GBK"/>
                <w:i w:val="0"/>
                <w:iCs w:val="0"/>
                <w:color w:val="000000"/>
                <w:sz w:val="32"/>
                <w:szCs w:val="32"/>
                <w:u w:val="none"/>
              </w:rPr>
            </w:pPr>
            <w:r>
              <w:rPr>
                <w:rFonts w:hint="default" w:ascii="方正小标宋_GBK" w:hAnsi="方正小标宋_GBK" w:eastAsia="方正小标宋_GBK" w:cs="方正小标宋_GBK"/>
                <w:i w:val="0"/>
                <w:iCs w:val="0"/>
                <w:color w:val="000000"/>
                <w:kern w:val="0"/>
                <w:sz w:val="32"/>
                <w:szCs w:val="32"/>
                <w:u w:val="none"/>
                <w:lang w:val="en-US" w:eastAsia="zh-CN" w:bidi="ar"/>
              </w:rPr>
              <w:t>三、清单报价表</w:t>
            </w:r>
          </w:p>
        </w:tc>
      </w:tr>
      <w:tr w14:paraId="1A36B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CC15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询价单位</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9D6D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江苏省淮安市保安服务有限公司</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F80E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报价单位</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14:paraId="6F37FAA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0000"/>
                <w:sz w:val="22"/>
                <w:szCs w:val="22"/>
                <w:u w:val="none"/>
              </w:rPr>
            </w:pPr>
          </w:p>
        </w:tc>
      </w:tr>
      <w:tr w14:paraId="6883B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C6AB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AEB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7C4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法定代表人或授权委托人</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14:paraId="637C27A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0000"/>
                <w:sz w:val="22"/>
                <w:szCs w:val="22"/>
                <w:u w:val="none"/>
              </w:rPr>
            </w:pPr>
          </w:p>
        </w:tc>
      </w:tr>
      <w:tr w14:paraId="40898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DD482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008C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331E2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14:paraId="5251405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0000"/>
                <w:sz w:val="22"/>
                <w:szCs w:val="22"/>
                <w:u w:val="none"/>
              </w:rPr>
            </w:pPr>
          </w:p>
        </w:tc>
      </w:tr>
      <w:tr w14:paraId="44458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952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99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single"/>
              </w:rPr>
            </w:pPr>
            <w:r>
              <w:rPr>
                <w:rFonts w:hint="eastAsia" w:ascii="宋体" w:hAnsi="宋体" w:eastAsia="宋体" w:cs="宋体"/>
                <w:i w:val="0"/>
                <w:iCs w:val="0"/>
                <w:color w:val="000000"/>
                <w:kern w:val="0"/>
                <w:sz w:val="24"/>
                <w:szCs w:val="24"/>
                <w:u w:val="single"/>
                <w:lang w:val="en-US" w:eastAsia="zh-CN" w:bidi="ar"/>
              </w:rPr>
              <w:t>HABAccb@163.com</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3E419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14:paraId="7F1E77B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0000"/>
                <w:sz w:val="22"/>
                <w:szCs w:val="22"/>
                <w:u w:val="none"/>
              </w:rPr>
            </w:pPr>
          </w:p>
        </w:tc>
      </w:tr>
      <w:tr w14:paraId="5742B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3F9B7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B83E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CC69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报价日期</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14:paraId="62FE6AC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0000"/>
                <w:sz w:val="22"/>
                <w:szCs w:val="22"/>
                <w:u w:val="none"/>
              </w:rPr>
            </w:pPr>
          </w:p>
        </w:tc>
      </w:tr>
      <w:tr w14:paraId="4F628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8D2C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CD96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4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7A6A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bookmarkStart w:id="0" w:name="_GoBack"/>
            <w:bookmarkEnd w:id="0"/>
            <w:r>
              <w:rPr>
                <w:rFonts w:hint="eastAsia" w:ascii="宋体" w:hAnsi="宋体" w:eastAsia="宋体" w:cs="宋体"/>
                <w:i w:val="0"/>
                <w:iCs w:val="0"/>
                <w:color w:val="000000"/>
                <w:kern w:val="0"/>
                <w:sz w:val="24"/>
                <w:szCs w:val="24"/>
                <w:u w:val="none"/>
                <w:lang w:val="en-US" w:eastAsia="zh-CN" w:bidi="ar"/>
              </w:rPr>
              <w:t>技术参数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F9F7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5A59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9B6A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金额（元）</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5313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63574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E7BD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9805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4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F913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521F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5B0A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41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E54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67E4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F245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8A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A3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教育系统平台网关</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91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品牌：宝登，型号：MQ-9100WG；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1、基本要求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1)支持集群负载均衡，能实现多台堆叠扩容。允许接入链接数≧5000;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2)满足高并发、高可用、高稳定和高安全等性能要求；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3)支持穿越网闸或安全接入边界；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4)提供统一接入接口和转发服务，能无缝接入上级管控平台,支撑各种显示、控制、查询和下载等服务功能;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2、硬件配置要求：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1）CPU：单颗≥6核，主频≥1.9GHz；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2）内存≥16G；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3）硬盘≥4T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4）网口：不低于2个千兆网口；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5）电源≥550W；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3、提供三年质保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86A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63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AA8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9EC1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5D149BD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5675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211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13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高清电教盒</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90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品牌：宝登，型号：MQ9000M-A；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1、功能要求：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1）接收数字流信号解码，还原出高清HDMI+VGA+音频信号输出；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2）支持1080P输出，配合HDMI、VGA、SDI高清编码器工作；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3）支持输出分辨率可调；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4）支持HDMI+VGA同步输出；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5）支持音频解码输出；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6）支持单播、组播连接；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7）支持主备流自动切换；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8）支持断点连接；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9）支持断电自动恢复功能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2、技术要求：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1）嵌入式架构；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2）支持100M以太网接口；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3）不低于1路HDMI输出；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4）不低于1路VGA输出；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5）1路音频输出：双声道音频口(ACR3.5)；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3、提供三年质保；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3F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E2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0EBA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D84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42321C7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CF97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6B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89F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壁挂有源音箱</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06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品牌：宝登，型号：MQ-M7100YX；</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1、功率:≥15W；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2、灵敏度: ≥93dB；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3、响应频率:80Hz-18KHz；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4、电源电压: 220V；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5、信号输入电压: 350mv；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6、外壳材料:ABS；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7、外观简洁时尚，自带功放推入式连接器，安装方便灵活 音质细腻，高度保真，具有音量调节功能，电源指示灯。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8、提供三年质保；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34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58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E3A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7AD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5126C0C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5370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37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70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音视频编码器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（接模拟信号）</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42D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品牌：宝登，型号：MQ-M2301-D；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1、音视频输入：不低于4路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2、视频压缩标准：H.264/MJPEG；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3、视频输入：视频BNC接口(1.0Vp-p, 75ohms)；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4、不低于1路VGA输出；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5、不低于1路HDMI同源输出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6、支持960X576分辨率实时编码；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7、码流范围：每通道码流可调，256kbps ~ 2Mbps；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8、音频编码标准:G.711A;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9、音频采样率:16KHz；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10、音频码率:64Kbps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11、音频输入：RCA接口；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12、网络接口：1个以太网口；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13、工作温度：-10℃～+55℃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14、工作湿度：10℅～90℅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15、提供三年质保；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3C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08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4FB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68F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5D92E7A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238D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11A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8C8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智能教室主机（电教模块）</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01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品牌：宝登，型号：MQ9000MAP；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1、运行内存≥4G；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2、存储内存≥32G；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3、接口：HDMI+VGA接口；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4、音频：双声道音频口(ACR3.5)；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5、具有网络唤醒、键盘开机、定时开机，断电恢复等功能,确保24小时不间断工作，稳定可靠。配套系统软件后常用于智能监室电教系统的媒体播放管理。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E78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42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439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027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0E5AE91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77A9E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48C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5B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高清视频编码处理器</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831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品牌：宝登，型号：MQ-M2301-H；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1、支持高清编码输入，全面支持ONVIF协议,可支持NVR录播；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2、音频编码支持AAC、MP3、G711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CBR/VBR/ABR码率控制，16kbit/s～40Mbit/s；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3、网络接口采用1000M 全双工模式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支持UDP、HTTP、RTSP、RTMP、ONVIF协议，支持单播及组播；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4、输出视频流格式：TS/VES/AES流等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WEB操作界面，中英文配置界面可选；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5、支持网络管理(WEB)；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6、支持双码流输出；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7、支持流分辨率设置；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8、接口：1路HDMI输入；1路视频输入：RCA接口；1路音频输入：RCA接口；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9、支持HDMI\CVBS输入，支持远程网络保存音视频，与系统软件结合可实现HDMI\CVBS采集编码、节目源切换、视频融合管理；常用于宣教系统的节目源高清信号源的处理。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00A1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C5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4EC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4EB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1C85004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6EDF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EFB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8D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高清编码器</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900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品牌：宝登，型号：MQ-M2301-H；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1、支持H.265/H.264 BP/MP/HP新一代高效视频编码；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2、支持AAC/AAC+/MP3/G.711高级音频质编码格式；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3、CBR/VBR码率控制，16Kbps～32Mbps；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4、支持1080P60 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5、网络接口采用100M、1000M 全双工模式；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6、支持高达720P，1080P@60HZ的高清视频输入；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7、支持图像参数设置；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8、HDMI编码支持HDCP协议，支持蓝光高清；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9、支持HTTP，FLV，HLS，UDP，RTSP，RTMP，ONVIF 协议；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10、WEB操作界面，中英文配置界面可选；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11、支持流分辨率自定义输出设置；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12、支持码流插入中英文字功能，字体背景、颜色可选；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13、支持多数CVBS输入，支持远程网络保存音视频，与系统软件结合可实现CVBS采集编码、节目源切换、视频融合管理；常用于宣教系统的节目源管理。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50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C9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506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E92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7993316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068B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B9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2FA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大课教育摄像机(壁挂式球机）</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941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品牌：宝登，型号：MQ-IPC1080A；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1、传感器≥1/2.8英寸CMOS图像传感器，低照度效果好，图像清晰度高；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2、像素≥200万；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3、电子快门：1/3s~1/100000s；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4、最低照度：0.002Lux@F1.5 黑白：0.0002Lux@F1.5 0Lux（红外灯开启）；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5、信噪比：＞55dB；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6、内置150米红外灯补光，采用倍率与红外灯功率匹配算法，补光效果更均匀；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7、镜头焦距：5.0mm～115mm；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9、变倍：支持23倍光学变倍，16倍数字变倍；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10、旋转范围：水平：0°~360°连续旋转垂直：-20°~+90°自动翻转180°后连续监视；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11、预置点：300个预置位，8条巡航路径，5条巡迹路径；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12、视频压缩标准：H.265；H.264BaselineProfile；H.264MainProfile；H.264HighProfile；MJPEG；smart H.265；smart H.264；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13、网络协议：IPv4；IPv6；HTTP；HTTPS；802.1x；Qos；FTP；SMTP；UPnP；SNMP；DNS；DDNS；NTP；RTSP；RTP；TCP；UDP；IGMP；ICMP；DHCP；PPPoE；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14、接入标准：ONVIF（Profile S/Profile G）；GB/T28181；CGI；</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15、网络接口：1个（RJ-45网口，支持10M/100M网络数据）；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16、空闲动作：预置点/自动巡迹/自动巡航/水平线扫；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17、定时任务：预置点/自动巡迹/自动巡航/水平线扫；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18、存储功能： FTP；Micro SD卡（最大支持256G）；NAS；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19、支持1路音频输入和1路音频输出；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20、内置2路报警输入和1路报警输出，支持报警联动功能；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21、防护等级：支持IP66；TVS6000V防雷、防浪涌和防突波保护；符合GB/T17626.54级标准；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支持采集现场图像及外接声音输入，支持远程网络保存音视频，与系统软件结合可实现远程监控、暂停、拍照等功能，可与高清编码器结合形成多节目源切换、视频融合管理；常用于宣教系统的视频直播、预览、拍照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3FE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39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653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77E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4E95844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707AD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36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466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信息交互终端</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DAE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品牌：宝登，型号：CS5260H2；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1、CPU：单颗≥4核，主频≥1.5GHz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2、内存≥2G；可配扩展至4G；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3、内置存储≥8GB，可配扩展至32G；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4、摄像头：低照度CMOS 500万高清摄像头；具有两个摄像头，具有人脸识别功能。摄像头抓拍图片分辨率≥500万像素。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5、通讯方式：TCP/IP 可跨网段；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6、网络接口：1个10/100M自适应接口；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7、显示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1）屏幕尺寸≥10寸LVDS高清液晶屏；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2）分辨率≥1280x800；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3）触摸屏:红外线钢化玻璃触摸屏，多点电容触摸屏；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4）防刮、防尘、防水容错设计；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5）触摸精度：不低于5MM；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6）触摸最快反应速度：不低于17MS；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7）单点触摸寿命：大于5000万次；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8、内置对讲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1）频率响应：80-3400Hz；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2）失真：&lt;5%（激励声压=-4.7dbPa）；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3）回声抑制：&gt;26dB；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4）噪声抑制：&gt;6dB；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5）延时：&lt;32mS（可能会由于实际网络环境而发生变化）；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6）网络接口：1个10/100M自适应接口；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7）音频采样率：16K～48K Hz；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8）音频模式：16位立体声CD音质；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9）谐波失真：&lt; 0.5%；信噪比：&gt; 70dB；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10）内置扬声器阻抗功率：8Ω，2W；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11）MIC输入灵敏度：10mV；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12）音频码流：16Kb～192Kb；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9、内置指纹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1）分辨率：不低于500dpi；</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2）畸变率：&lt;1%；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3）灰度级：256gray-level；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4）采集窗口尺寸：不低于21.0mm×29.0mm；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5）有效区域：不低于14.4mm×18.5mm；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6）图像大小：256mm×360mm；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10、内置刷卡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1）工作频率：125KHz或13.5MHz(IC&amp;ID双频）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2）接口方式：TTL；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3）感应距离&gt;5mm；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11、内置人脸识别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1）不低于300万像素高清宽动态摄像机，摄像机COMS图像传感器,内置ISP算法和优化技术,以及图像压缩技术,超宽动态范围高达115dB，全高清的分辨率1920*1080分辨率下，帧速率可以达到30FPS；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2）人脸识别算法:兼具近红外和可见光两种识别算法，实现不同光线环境下的精准人脸识别；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3）图像数据交换格式遵循ISO/IEC 19794-5标准，支持1:1和1：N识别方式；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4）脸部转动在上下左右30度内可精确识别，识别速度最高可达每秒100万次。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12、外壳防护等级试验≥IP 64；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13、具有防拆报警功能。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14、提供三年质保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DA9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A9D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6BA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33D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6ACEFC0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A9E2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D2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AFB2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终端预埋底壳</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02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信息交互终端配套，含切槽及恢复；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F5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DBD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915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D2B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1C0CD34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7C28B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34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5D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网络可视对讲主机</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670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品牌：宝登，型号：MQ-S3200DJ-KS；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1、基本要求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1）屏幕尺寸≥10寸 IPS液晶屏，16：9，具备85度宽视角；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2）CPU：单颗≥4核，主频≥2.2GHz；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3）GPU：Arm Mali-T764 双精度浮点64位；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4）内存≥1G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5）闪存≥8G Nand Flash；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6）视频编解码：支持H.263/H.264/H.265/MPEG-1/2/4/AVS硬件编解码；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7）分辨率≥1280*800；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8）激励声压：-4.7dBPa；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9）延时：&lt;32mS（该参数可能会由于实际网络环境而发生变化）；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10）回声抑制：&gt;30dB；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11）噪声抑制：&gt;6dB；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12）频率回响：300-3400Hz；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13）失真： &lt;5%（激励声压=-4.7dbPa）；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2、功能要求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1）与网络对讲分机及语音服务器可配合使用。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2）通过网络传输实现全自动免提双向对讲，具备占线呼叫转移、无响应呼叫转移、关机转移和手动转移功能。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3）具备语音喊话广播、音乐广播，定时区组任务广播等多种广播模式。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4）全数字网络化传输；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5）自适应回声抑制（AEC）算法，自动滤波参数快速调节；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6）内置自适应主动降噪（ANC）算法，抑制环境噪声；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7）可定点、定时托管主机给上级或同级主机。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8）可查阅历史呼叫记录，并回放相关监控。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9）能实时查看到分机在线状态。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3、提供三年质保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13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45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912C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BDF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2A0ADEB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448D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C0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2C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人脸认证终端（含人脸算法）</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35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品牌：宝登，型号：MQ-IPC720A-IE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1、内置谈话模块、人脸算法、实现谈话应用；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2、传感器类型：1/2.8英寸CMOS；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3、像素：200万；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4、最大分辨率：1920×1080；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5、最低照度：0.002lux（彩色模式）；0.0002lux（黑白模式）；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6、镜头类型：定焦；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7、视场角：水平：133°；垂直：77°；对角：153°；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8、人脸检测：支持人脸增强、人脸曝光、人脸抠图、抓拍策略；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9、智能编码：H.264:H.265；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10、AI编码：H.264:支持（压缩率≥25%）;H.265:支持（压缩率≥25%）；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11、宽动态：120dB；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12、内置MIC1个MIC；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13、提供三年质保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33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61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35D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3C8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1D278DC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469E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FA0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11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存储主机</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A6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品牌：宝登，型号：MQ-NVR2304-N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1、主处理器：工业级微控制器；操作系统：嵌入式Linux操作系统；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2、音频输入：1路,支持IPC音频输入；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3、视频输出：1路VGA/2路HDMI(支持VGA/HDMI视频同步输出)；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4、音频输出：1路,支持语音对讲输出；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5、视频格式：H.264/H.265/MPEG4/MJPEG；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6、录像分辨率：12M/8M/5M/3M/1080P/720P；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7、备份模式：支持硬盘、外接USB存储设备、eSATA扩展柜；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8、硬盘管理：4个内置SATA3.0接口支持0~16T；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9、网络接口：2个RJ45 10/100/1000Mbps自适应以太网口；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10、USB接口：USB2.0接口；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11、支持远程触发录像、自动网络保存音视频，与系统软件结合可实现远程播放、暂停、下载等功能，可用于智能谈话、视频直播等系统。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12、提供三年质保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A2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2A4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D82E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70C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795D7F6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C14D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931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AF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AB门认证终端</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88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品牌：宝登，型号：MQ-M800-19/I</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1、基本要求：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1）CPU：≥ 八核1.5GHz或以上；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2）内存≥ 2G；可配扩展至4G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3）内置存储≥ 8GB，可配扩展至16G，32G,支持最大128G扩展卡本地存储；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4）通讯方式：TCP/IP 可跨网段；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5）网络接口：1个10/100M自适应接口；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6）电源：DC12V,5A；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7）颜色:默认银色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8）封装：铝拉丝材质密封外框；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9）尺寸：487mm*396mm*52.7mm；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2、显示及触摸屏要求：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1）分辨率：1366x768；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2）18.5寸电容触摸屏；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3）触摸屏接口：USB/RS232；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4）触摸精度：5MM；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5）单点触摸寿命：大于5000万次；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6）透光性：&gt;90%；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3、内置指纹模块：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1）分辨率：500dpi；</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2）畸变率：&lt;1%；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3）灰度级：256gray-level；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4）采集窗口尺寸：21.0mm×29.0mm；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5）有效区域：14.4mm×18.5mm；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6）图像大小：256 × 360mm；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4、内置人脸识别模块: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1）300万像素高清宽动态USB摄像机，COMS图像传感器,内置ISP算法和优化以及图像压缩技术,动态范围高达115dB，适合于在强光和背光背景下的人脸识别和人证比对应用；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2）红外和可见光两种识别算法，可实现不同光线环境下的精准人脸识别；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3）图像数据交换格式遵循ISO/IEC 19794-5标准，支持1:1和1：N识别方式，脸部转动在上下左右30度内可精确识别，识别速度最高可达每秒100万次。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5、刷卡（标配）: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1）工作频率：125KHz+13.5MHz IC&amp;ID双频；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2）接口方式：TTL；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3）感应距离&gt;5mm；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6、支持自动同步受教育人员基本数据、民警基本信息、业务信息。可应用于AB门防误放，会见大厅，出入口系统的出入验证。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7、提供三年质保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AC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E9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CFE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8A1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19B8130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7DF45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4A3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u w:val="none"/>
              </w:rPr>
            </w:pPr>
          </w:p>
        </w:tc>
        <w:tc>
          <w:tcPr>
            <w:tcW w:w="117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D0EA5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5076825</wp:posOffset>
                  </wp:positionH>
                  <wp:positionV relativeFrom="paragraph">
                    <wp:posOffset>0</wp:posOffset>
                  </wp:positionV>
                  <wp:extent cx="152400" cy="161925"/>
                  <wp:effectExtent l="0" t="0" r="0" b="0"/>
                  <wp:wrapNone/>
                  <wp:docPr id="49" name="Text_Box_5"/>
                  <wp:cNvGraphicFramePr/>
                  <a:graphic xmlns:a="http://schemas.openxmlformats.org/drawingml/2006/main">
                    <a:graphicData uri="http://schemas.openxmlformats.org/drawingml/2006/picture">
                      <pic:pic xmlns:pic="http://schemas.openxmlformats.org/drawingml/2006/picture">
                        <pic:nvPicPr>
                          <pic:cNvPr id="49" name="Text_Box_5"/>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5076825</wp:posOffset>
                  </wp:positionH>
                  <wp:positionV relativeFrom="paragraph">
                    <wp:posOffset>0</wp:posOffset>
                  </wp:positionV>
                  <wp:extent cx="152400" cy="161925"/>
                  <wp:effectExtent l="0" t="0" r="0" b="0"/>
                  <wp:wrapNone/>
                  <wp:docPr id="61" name="Text_Box_9"/>
                  <wp:cNvGraphicFramePr/>
                  <a:graphic xmlns:a="http://schemas.openxmlformats.org/drawingml/2006/main">
                    <a:graphicData uri="http://schemas.openxmlformats.org/drawingml/2006/picture">
                      <pic:pic xmlns:pic="http://schemas.openxmlformats.org/drawingml/2006/picture">
                        <pic:nvPicPr>
                          <pic:cNvPr id="61" name="Text_Box_9"/>
                          <pic:cNvPicPr/>
                        </pic:nvPicPr>
                        <pic:blipFill>
                          <a:blip r:embed="rId7"/>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5076825</wp:posOffset>
                  </wp:positionH>
                  <wp:positionV relativeFrom="paragraph">
                    <wp:posOffset>0</wp:posOffset>
                  </wp:positionV>
                  <wp:extent cx="152400" cy="161925"/>
                  <wp:effectExtent l="0" t="0" r="0" b="0"/>
                  <wp:wrapNone/>
                  <wp:docPr id="48" name="Text_Box_5_SpCnt_1"/>
                  <wp:cNvGraphicFramePr/>
                  <a:graphic xmlns:a="http://schemas.openxmlformats.org/drawingml/2006/main">
                    <a:graphicData uri="http://schemas.openxmlformats.org/drawingml/2006/picture">
                      <pic:pic xmlns:pic="http://schemas.openxmlformats.org/drawingml/2006/picture">
                        <pic:nvPicPr>
                          <pic:cNvPr id="48" name="Text_Box_5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5076825</wp:posOffset>
                  </wp:positionH>
                  <wp:positionV relativeFrom="paragraph">
                    <wp:posOffset>0</wp:posOffset>
                  </wp:positionV>
                  <wp:extent cx="152400" cy="161925"/>
                  <wp:effectExtent l="0" t="0" r="0" b="0"/>
                  <wp:wrapNone/>
                  <wp:docPr id="59" name="Text_Box_9_SpCnt_1"/>
                  <wp:cNvGraphicFramePr/>
                  <a:graphic xmlns:a="http://schemas.openxmlformats.org/drawingml/2006/main">
                    <a:graphicData uri="http://schemas.openxmlformats.org/drawingml/2006/picture">
                      <pic:pic xmlns:pic="http://schemas.openxmlformats.org/drawingml/2006/picture">
                        <pic:nvPicPr>
                          <pic:cNvPr id="59" name="Text_Box_9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5076825</wp:posOffset>
                  </wp:positionH>
                  <wp:positionV relativeFrom="paragraph">
                    <wp:posOffset>0</wp:posOffset>
                  </wp:positionV>
                  <wp:extent cx="152400" cy="161925"/>
                  <wp:effectExtent l="0" t="0" r="0" b="0"/>
                  <wp:wrapNone/>
                  <wp:docPr id="50" name="Text_Box_12"/>
                  <wp:cNvGraphicFramePr/>
                  <a:graphic xmlns:a="http://schemas.openxmlformats.org/drawingml/2006/main">
                    <a:graphicData uri="http://schemas.openxmlformats.org/drawingml/2006/picture">
                      <pic:pic xmlns:pic="http://schemas.openxmlformats.org/drawingml/2006/picture">
                        <pic:nvPicPr>
                          <pic:cNvPr id="50" name="Text_Box_1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5076825</wp:posOffset>
                  </wp:positionH>
                  <wp:positionV relativeFrom="paragraph">
                    <wp:posOffset>0</wp:posOffset>
                  </wp:positionV>
                  <wp:extent cx="152400" cy="161925"/>
                  <wp:effectExtent l="0" t="0" r="0" b="0"/>
                  <wp:wrapNone/>
                  <wp:docPr id="63" name="Text_Box_10"/>
                  <wp:cNvGraphicFramePr/>
                  <a:graphic xmlns:a="http://schemas.openxmlformats.org/drawingml/2006/main">
                    <a:graphicData uri="http://schemas.openxmlformats.org/drawingml/2006/picture">
                      <pic:pic xmlns:pic="http://schemas.openxmlformats.org/drawingml/2006/picture">
                        <pic:nvPicPr>
                          <pic:cNvPr id="63" name="Text_Box_10"/>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5076825</wp:posOffset>
                  </wp:positionH>
                  <wp:positionV relativeFrom="paragraph">
                    <wp:posOffset>0</wp:posOffset>
                  </wp:positionV>
                  <wp:extent cx="152400" cy="161925"/>
                  <wp:effectExtent l="0" t="0" r="0" b="0"/>
                  <wp:wrapNone/>
                  <wp:docPr id="69" name="Text_Box_9_SpCnt_2"/>
                  <wp:cNvGraphicFramePr/>
                  <a:graphic xmlns:a="http://schemas.openxmlformats.org/drawingml/2006/main">
                    <a:graphicData uri="http://schemas.openxmlformats.org/drawingml/2006/picture">
                      <pic:pic xmlns:pic="http://schemas.openxmlformats.org/drawingml/2006/picture">
                        <pic:nvPicPr>
                          <pic:cNvPr id="69" name="Text_Box_9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5076825</wp:posOffset>
                  </wp:positionH>
                  <wp:positionV relativeFrom="paragraph">
                    <wp:posOffset>0</wp:posOffset>
                  </wp:positionV>
                  <wp:extent cx="152400" cy="161925"/>
                  <wp:effectExtent l="0" t="0" r="0" b="0"/>
                  <wp:wrapNone/>
                  <wp:docPr id="47" name="Text_Box_7"/>
                  <wp:cNvGraphicFramePr/>
                  <a:graphic xmlns:a="http://schemas.openxmlformats.org/drawingml/2006/main">
                    <a:graphicData uri="http://schemas.openxmlformats.org/drawingml/2006/picture">
                      <pic:pic xmlns:pic="http://schemas.openxmlformats.org/drawingml/2006/picture">
                        <pic:nvPicPr>
                          <pic:cNvPr id="47" name="Text_Box_7"/>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5076825</wp:posOffset>
                  </wp:positionH>
                  <wp:positionV relativeFrom="paragraph">
                    <wp:posOffset>0</wp:posOffset>
                  </wp:positionV>
                  <wp:extent cx="152400" cy="161925"/>
                  <wp:effectExtent l="0" t="0" r="0" b="0"/>
                  <wp:wrapNone/>
                  <wp:docPr id="54" name="Text_Box_5_SpCnt_2"/>
                  <wp:cNvGraphicFramePr/>
                  <a:graphic xmlns:a="http://schemas.openxmlformats.org/drawingml/2006/main">
                    <a:graphicData uri="http://schemas.openxmlformats.org/drawingml/2006/picture">
                      <pic:pic xmlns:pic="http://schemas.openxmlformats.org/drawingml/2006/picture">
                        <pic:nvPicPr>
                          <pic:cNvPr id="54" name="Text_Box_5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5076825</wp:posOffset>
                  </wp:positionH>
                  <wp:positionV relativeFrom="paragraph">
                    <wp:posOffset>0</wp:posOffset>
                  </wp:positionV>
                  <wp:extent cx="152400" cy="161925"/>
                  <wp:effectExtent l="0" t="0" r="0" b="0"/>
                  <wp:wrapNone/>
                  <wp:docPr id="65" name="Text_Box_14"/>
                  <wp:cNvGraphicFramePr/>
                  <a:graphic xmlns:a="http://schemas.openxmlformats.org/drawingml/2006/main">
                    <a:graphicData uri="http://schemas.openxmlformats.org/drawingml/2006/picture">
                      <pic:pic xmlns:pic="http://schemas.openxmlformats.org/drawingml/2006/picture">
                        <pic:nvPicPr>
                          <pic:cNvPr id="65" name="Text_Box_14"/>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5076825</wp:posOffset>
                  </wp:positionH>
                  <wp:positionV relativeFrom="paragraph">
                    <wp:posOffset>0</wp:posOffset>
                  </wp:positionV>
                  <wp:extent cx="152400" cy="161925"/>
                  <wp:effectExtent l="0" t="0" r="0" b="0"/>
                  <wp:wrapNone/>
                  <wp:docPr id="57" name="Text_Box_12_SpCnt_1"/>
                  <wp:cNvGraphicFramePr/>
                  <a:graphic xmlns:a="http://schemas.openxmlformats.org/drawingml/2006/main">
                    <a:graphicData uri="http://schemas.openxmlformats.org/drawingml/2006/picture">
                      <pic:pic xmlns:pic="http://schemas.openxmlformats.org/drawingml/2006/picture">
                        <pic:nvPicPr>
                          <pic:cNvPr id="57" name="Text_Box_12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5076825</wp:posOffset>
                  </wp:positionH>
                  <wp:positionV relativeFrom="paragraph">
                    <wp:posOffset>0</wp:posOffset>
                  </wp:positionV>
                  <wp:extent cx="152400" cy="161925"/>
                  <wp:effectExtent l="0" t="0" r="0" b="0"/>
                  <wp:wrapNone/>
                  <wp:docPr id="55" name="Text_Box_7_SpCnt_1"/>
                  <wp:cNvGraphicFramePr/>
                  <a:graphic xmlns:a="http://schemas.openxmlformats.org/drawingml/2006/main">
                    <a:graphicData uri="http://schemas.openxmlformats.org/drawingml/2006/picture">
                      <pic:pic xmlns:pic="http://schemas.openxmlformats.org/drawingml/2006/picture">
                        <pic:nvPicPr>
                          <pic:cNvPr id="55" name="Text_Box_7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5076825</wp:posOffset>
                  </wp:positionH>
                  <wp:positionV relativeFrom="paragraph">
                    <wp:posOffset>0</wp:posOffset>
                  </wp:positionV>
                  <wp:extent cx="152400" cy="161925"/>
                  <wp:effectExtent l="0" t="0" r="0" b="0"/>
                  <wp:wrapNone/>
                  <wp:docPr id="66" name="Text_Box_10_SpCnt_1"/>
                  <wp:cNvGraphicFramePr/>
                  <a:graphic xmlns:a="http://schemas.openxmlformats.org/drawingml/2006/main">
                    <a:graphicData uri="http://schemas.openxmlformats.org/drawingml/2006/picture">
                      <pic:pic xmlns:pic="http://schemas.openxmlformats.org/drawingml/2006/picture">
                        <pic:nvPicPr>
                          <pic:cNvPr id="66" name="Text_Box_10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5076825</wp:posOffset>
                  </wp:positionH>
                  <wp:positionV relativeFrom="paragraph">
                    <wp:posOffset>0</wp:posOffset>
                  </wp:positionV>
                  <wp:extent cx="152400" cy="161925"/>
                  <wp:effectExtent l="0" t="0" r="0" b="0"/>
                  <wp:wrapNone/>
                  <wp:docPr id="60" name="Text_Box_5_SpCnt_3"/>
                  <wp:cNvGraphicFramePr/>
                  <a:graphic xmlns:a="http://schemas.openxmlformats.org/drawingml/2006/main">
                    <a:graphicData uri="http://schemas.openxmlformats.org/drawingml/2006/picture">
                      <pic:pic xmlns:pic="http://schemas.openxmlformats.org/drawingml/2006/picture">
                        <pic:nvPicPr>
                          <pic:cNvPr id="60" name="Text_Box_5_SpCnt_3"/>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5076825</wp:posOffset>
                  </wp:positionH>
                  <wp:positionV relativeFrom="paragraph">
                    <wp:posOffset>0</wp:posOffset>
                  </wp:positionV>
                  <wp:extent cx="152400" cy="161925"/>
                  <wp:effectExtent l="0" t="0" r="0" b="0"/>
                  <wp:wrapNone/>
                  <wp:docPr id="67" name="Text_Box_14_SpCnt_1"/>
                  <wp:cNvGraphicFramePr/>
                  <a:graphic xmlns:a="http://schemas.openxmlformats.org/drawingml/2006/main">
                    <a:graphicData uri="http://schemas.openxmlformats.org/drawingml/2006/picture">
                      <pic:pic xmlns:pic="http://schemas.openxmlformats.org/drawingml/2006/picture">
                        <pic:nvPicPr>
                          <pic:cNvPr id="67" name="Text_Box_14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5076825</wp:posOffset>
                  </wp:positionH>
                  <wp:positionV relativeFrom="paragraph">
                    <wp:posOffset>0</wp:posOffset>
                  </wp:positionV>
                  <wp:extent cx="152400" cy="161925"/>
                  <wp:effectExtent l="0" t="0" r="0" b="0"/>
                  <wp:wrapNone/>
                  <wp:docPr id="64" name="Text_Box_12_SpCnt_2"/>
                  <wp:cNvGraphicFramePr/>
                  <a:graphic xmlns:a="http://schemas.openxmlformats.org/drawingml/2006/main">
                    <a:graphicData uri="http://schemas.openxmlformats.org/drawingml/2006/picture">
                      <pic:pic xmlns:pic="http://schemas.openxmlformats.org/drawingml/2006/picture">
                        <pic:nvPicPr>
                          <pic:cNvPr id="64" name="Text_Box_12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5076825</wp:posOffset>
                  </wp:positionH>
                  <wp:positionV relativeFrom="paragraph">
                    <wp:posOffset>0</wp:posOffset>
                  </wp:positionV>
                  <wp:extent cx="152400" cy="161925"/>
                  <wp:effectExtent l="0" t="0" r="0" b="0"/>
                  <wp:wrapNone/>
                  <wp:docPr id="56" name="Text_Box_10_SpCnt_2"/>
                  <wp:cNvGraphicFramePr/>
                  <a:graphic xmlns:a="http://schemas.openxmlformats.org/drawingml/2006/main">
                    <a:graphicData uri="http://schemas.openxmlformats.org/drawingml/2006/picture">
                      <pic:pic xmlns:pic="http://schemas.openxmlformats.org/drawingml/2006/picture">
                        <pic:nvPicPr>
                          <pic:cNvPr id="56" name="Text_Box_10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5076825</wp:posOffset>
                  </wp:positionH>
                  <wp:positionV relativeFrom="paragraph">
                    <wp:posOffset>0</wp:posOffset>
                  </wp:positionV>
                  <wp:extent cx="152400" cy="161925"/>
                  <wp:effectExtent l="0" t="0" r="0" b="0"/>
                  <wp:wrapNone/>
                  <wp:docPr id="53" name="Text_Box_9_SpCnt_3"/>
                  <wp:cNvGraphicFramePr/>
                  <a:graphic xmlns:a="http://schemas.openxmlformats.org/drawingml/2006/main">
                    <a:graphicData uri="http://schemas.openxmlformats.org/drawingml/2006/picture">
                      <pic:pic xmlns:pic="http://schemas.openxmlformats.org/drawingml/2006/picture">
                        <pic:nvPicPr>
                          <pic:cNvPr id="53" name="Text_Box_9_SpCnt_3"/>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5076825</wp:posOffset>
                  </wp:positionH>
                  <wp:positionV relativeFrom="paragraph">
                    <wp:posOffset>0</wp:posOffset>
                  </wp:positionV>
                  <wp:extent cx="152400" cy="161925"/>
                  <wp:effectExtent l="0" t="0" r="0" b="0"/>
                  <wp:wrapNone/>
                  <wp:docPr id="51" name="Text_Box_14_SpCnt_2"/>
                  <wp:cNvGraphicFramePr/>
                  <a:graphic xmlns:a="http://schemas.openxmlformats.org/drawingml/2006/main">
                    <a:graphicData uri="http://schemas.openxmlformats.org/drawingml/2006/picture">
                      <pic:pic xmlns:pic="http://schemas.openxmlformats.org/drawingml/2006/picture">
                        <pic:nvPicPr>
                          <pic:cNvPr id="51" name="Text_Box_14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5076825</wp:posOffset>
                  </wp:positionH>
                  <wp:positionV relativeFrom="paragraph">
                    <wp:posOffset>0</wp:posOffset>
                  </wp:positionV>
                  <wp:extent cx="152400" cy="161925"/>
                  <wp:effectExtent l="0" t="0" r="0" b="0"/>
                  <wp:wrapNone/>
                  <wp:docPr id="68" name="Text_Box_7_SpCnt_2"/>
                  <wp:cNvGraphicFramePr/>
                  <a:graphic xmlns:a="http://schemas.openxmlformats.org/drawingml/2006/main">
                    <a:graphicData uri="http://schemas.openxmlformats.org/drawingml/2006/picture">
                      <pic:pic xmlns:pic="http://schemas.openxmlformats.org/drawingml/2006/picture">
                        <pic:nvPicPr>
                          <pic:cNvPr id="68" name="Text_Box_7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5076825</wp:posOffset>
                  </wp:positionH>
                  <wp:positionV relativeFrom="paragraph">
                    <wp:posOffset>0</wp:posOffset>
                  </wp:positionV>
                  <wp:extent cx="152400" cy="161925"/>
                  <wp:effectExtent l="0" t="0" r="0" b="0"/>
                  <wp:wrapNone/>
                  <wp:docPr id="52" name="Text_Box_12_SpCnt_3"/>
                  <wp:cNvGraphicFramePr/>
                  <a:graphic xmlns:a="http://schemas.openxmlformats.org/drawingml/2006/main">
                    <a:graphicData uri="http://schemas.openxmlformats.org/drawingml/2006/picture">
                      <pic:pic xmlns:pic="http://schemas.openxmlformats.org/drawingml/2006/picture">
                        <pic:nvPicPr>
                          <pic:cNvPr id="52" name="Text_Box_12_SpCnt_3"/>
                          <pic:cNvPicPr/>
                        </pic:nvPicPr>
                        <pic:blipFill>
                          <a:blip r:embed="rId9"/>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5076825</wp:posOffset>
                  </wp:positionH>
                  <wp:positionV relativeFrom="paragraph">
                    <wp:posOffset>0</wp:posOffset>
                  </wp:positionV>
                  <wp:extent cx="152400" cy="161925"/>
                  <wp:effectExtent l="0" t="0" r="0" b="0"/>
                  <wp:wrapNone/>
                  <wp:docPr id="62" name="Text_Box_7_SpCnt_3"/>
                  <wp:cNvGraphicFramePr/>
                  <a:graphic xmlns:a="http://schemas.openxmlformats.org/drawingml/2006/main">
                    <a:graphicData uri="http://schemas.openxmlformats.org/drawingml/2006/picture">
                      <pic:pic xmlns:pic="http://schemas.openxmlformats.org/drawingml/2006/picture">
                        <pic:nvPicPr>
                          <pic:cNvPr id="62" name="Text_Box_7_SpCnt_3"/>
                          <pic:cNvPicPr/>
                        </pic:nvPicPr>
                        <pic:blipFill>
                          <a:blip r:embed="rId10"/>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5076825</wp:posOffset>
                  </wp:positionH>
                  <wp:positionV relativeFrom="paragraph">
                    <wp:posOffset>0</wp:posOffset>
                  </wp:positionV>
                  <wp:extent cx="152400" cy="161925"/>
                  <wp:effectExtent l="0" t="0" r="0" b="0"/>
                  <wp:wrapNone/>
                  <wp:docPr id="58" name="Text_Box_10_SpCnt_3"/>
                  <wp:cNvGraphicFramePr/>
                  <a:graphic xmlns:a="http://schemas.openxmlformats.org/drawingml/2006/main">
                    <a:graphicData uri="http://schemas.openxmlformats.org/drawingml/2006/picture">
                      <pic:pic xmlns:pic="http://schemas.openxmlformats.org/drawingml/2006/picture">
                        <pic:nvPicPr>
                          <pic:cNvPr id="58" name="Text_Box_10_SpCnt_3"/>
                          <pic:cNvPicPr/>
                        </pic:nvPicPr>
                        <pic:blipFill>
                          <a:blip r:embed="rId11"/>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合计：</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元</w:t>
            </w:r>
          </w:p>
        </w:tc>
      </w:tr>
      <w:tr w14:paraId="03C63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28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81012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注：以上报价含可抵扣的增值税专用发票、运费、卸货以及调试相关服务费用。</w:t>
            </w:r>
          </w:p>
        </w:tc>
      </w:tr>
      <w:tr w14:paraId="27919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2F84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是否接受保证金（控制价的2%）           </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4EA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CF272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是否接受履约保证金（成交金额的10%）</w:t>
            </w:r>
          </w:p>
        </w:tc>
        <w:tc>
          <w:tcPr>
            <w:tcW w:w="3735" w:type="dxa"/>
            <w:gridSpan w:val="3"/>
            <w:tcBorders>
              <w:top w:val="single" w:color="000000" w:sz="4" w:space="0"/>
              <w:left w:val="nil"/>
              <w:bottom w:val="single" w:color="000000" w:sz="4" w:space="0"/>
              <w:right w:val="single" w:color="000000" w:sz="4" w:space="0"/>
            </w:tcBorders>
            <w:shd w:val="clear" w:color="auto" w:fill="auto"/>
            <w:vAlign w:val="center"/>
          </w:tcPr>
          <w:p w14:paraId="4EE5E80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6B62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48BD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质保期：             </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D4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3年</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1312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税点：</w:t>
            </w:r>
          </w:p>
        </w:tc>
        <w:tc>
          <w:tcPr>
            <w:tcW w:w="3735" w:type="dxa"/>
            <w:gridSpan w:val="3"/>
            <w:tcBorders>
              <w:top w:val="single" w:color="000000" w:sz="4" w:space="0"/>
              <w:left w:val="nil"/>
              <w:bottom w:val="single" w:color="000000" w:sz="4" w:space="0"/>
              <w:right w:val="single" w:color="000000" w:sz="4" w:space="0"/>
            </w:tcBorders>
            <w:shd w:val="clear" w:color="auto" w:fill="auto"/>
            <w:vAlign w:val="center"/>
          </w:tcPr>
          <w:p w14:paraId="59A9926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D771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FC1D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供货期：             </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5A1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15天</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48D8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付款方式</w:t>
            </w:r>
          </w:p>
        </w:tc>
        <w:tc>
          <w:tcPr>
            <w:tcW w:w="3735" w:type="dxa"/>
            <w:gridSpan w:val="3"/>
            <w:tcBorders>
              <w:top w:val="single" w:color="000000" w:sz="4" w:space="0"/>
              <w:left w:val="nil"/>
              <w:bottom w:val="single" w:color="000000" w:sz="4" w:space="0"/>
              <w:right w:val="single" w:color="000000" w:sz="4" w:space="0"/>
            </w:tcBorders>
            <w:shd w:val="clear" w:color="auto" w:fill="auto"/>
            <w:vAlign w:val="center"/>
          </w:tcPr>
          <w:p w14:paraId="568D43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合同签订后个7日内支付50%预付款，货到现场安装验收合格后3个月付清尾款。</w:t>
            </w:r>
          </w:p>
        </w:tc>
      </w:tr>
    </w:tbl>
    <w:p w14:paraId="3FFE4FC2">
      <w:pPr>
        <w:ind w:left="0" w:leftChars="0" w:firstLine="0" w:firstLineChars="0"/>
        <w:rPr>
          <w:rFonts w:hint="eastAsia"/>
          <w:lang w:val="en-US" w:eastAsia="zh-CN"/>
        </w:rPr>
        <w:sectPr>
          <w:pgSz w:w="16838" w:h="11906" w:orient="landscape"/>
          <w:pgMar w:top="1800" w:right="1440" w:bottom="1800" w:left="1440" w:header="851" w:footer="992" w:gutter="0"/>
          <w:cols w:space="425" w:num="1"/>
          <w:docGrid w:type="lines" w:linePitch="312" w:charSpace="0"/>
        </w:sectPr>
      </w:pPr>
    </w:p>
    <w:p w14:paraId="736DD848">
      <w:pPr>
        <w:pStyle w:val="2"/>
        <w:numPr>
          <w:ilvl w:val="0"/>
          <w:numId w:val="0"/>
        </w:numPr>
        <w:bidi w:val="0"/>
        <w:ind w:leftChars="0"/>
        <w:jc w:val="center"/>
        <w:rPr>
          <w:rFonts w:hint="eastAsia" w:ascii="仿宋" w:hAnsi="仿宋" w:eastAsia="仿宋" w:cs="仿宋"/>
          <w:lang w:eastAsia="zh-CN"/>
        </w:rPr>
      </w:pPr>
      <w:r>
        <w:rPr>
          <w:rFonts w:hint="eastAsia" w:ascii="仿宋" w:hAnsi="仿宋" w:eastAsia="仿宋" w:cs="仿宋"/>
        </w:rPr>
        <w:t>合同格式及条款</w:t>
      </w:r>
    </w:p>
    <w:p w14:paraId="5DCC46EE">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甲方：江苏省淮安市保安服务有限公司                         </w:t>
      </w:r>
    </w:p>
    <w:p w14:paraId="40244F07">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乙方：</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p>
    <w:p w14:paraId="68DA160E">
      <w:pPr>
        <w:tabs>
          <w:tab w:val="left" w:pos="48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甲乙双方本着自愿、平等、诚实、信用的原则，依照《中华人民共和国民法典》及其它有关的法律法规下, 经协商订立合同条款如下：</w:t>
      </w:r>
    </w:p>
    <w:p w14:paraId="36E10A11">
      <w:pPr>
        <w:spacing w:line="360" w:lineRule="auto"/>
        <w:ind w:firstLine="482" w:firstLineChars="200"/>
        <w:rPr>
          <w:rFonts w:hint="eastAsia" w:ascii="仿宋" w:hAnsi="仿宋" w:eastAsia="仿宋" w:cs="仿宋"/>
          <w:bCs/>
          <w:color w:val="auto"/>
          <w:sz w:val="24"/>
          <w:szCs w:val="24"/>
          <w:lang w:eastAsia="zh-CN"/>
        </w:rPr>
      </w:pPr>
      <w:r>
        <w:rPr>
          <w:rFonts w:hint="eastAsia" w:ascii="仿宋" w:hAnsi="仿宋" w:eastAsia="仿宋" w:cs="仿宋"/>
          <w:b/>
          <w:bCs/>
          <w:color w:val="auto"/>
          <w:sz w:val="24"/>
          <w:szCs w:val="24"/>
          <w:lang w:val="en-US" w:eastAsia="zh-CN"/>
        </w:rPr>
        <w:t>第一条.</w:t>
      </w:r>
      <w:r>
        <w:rPr>
          <w:rFonts w:hint="eastAsia" w:ascii="仿宋" w:hAnsi="仿宋" w:eastAsia="仿宋" w:cs="仿宋"/>
          <w:b/>
          <w:bCs/>
          <w:color w:val="auto"/>
          <w:sz w:val="24"/>
          <w:szCs w:val="24"/>
        </w:rPr>
        <w:t>采购清单</w:t>
      </w:r>
      <w:r>
        <w:rPr>
          <w:rFonts w:hint="eastAsia" w:ascii="仿宋" w:hAnsi="仿宋" w:eastAsia="仿宋" w:cs="仿宋"/>
          <w:b/>
          <w:bCs/>
          <w:color w:val="auto"/>
          <w:sz w:val="24"/>
          <w:szCs w:val="24"/>
          <w:lang w:eastAsia="zh-CN"/>
        </w:rPr>
        <w:t>：</w:t>
      </w:r>
    </w:p>
    <w:tbl>
      <w:tblPr>
        <w:tblStyle w:val="24"/>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25"/>
        <w:gridCol w:w="1310"/>
        <w:gridCol w:w="827"/>
        <w:gridCol w:w="800"/>
        <w:gridCol w:w="709"/>
        <w:gridCol w:w="992"/>
        <w:gridCol w:w="1262"/>
        <w:gridCol w:w="853"/>
      </w:tblGrid>
      <w:tr w14:paraId="7995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67B26D8">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525" w:type="dxa"/>
            <w:noWrap w:val="0"/>
            <w:vAlign w:val="center"/>
          </w:tcPr>
          <w:p w14:paraId="4F859A5B">
            <w:pPr>
              <w:pStyle w:val="17"/>
              <w:spacing w:line="340" w:lineRule="exact"/>
              <w:ind w:left="0" w:leftChars="0" w:right="-238" w:rightChars="-99"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货物名称</w:t>
            </w:r>
          </w:p>
        </w:tc>
        <w:tc>
          <w:tcPr>
            <w:tcW w:w="1310" w:type="dxa"/>
            <w:noWrap w:val="0"/>
            <w:vAlign w:val="center"/>
          </w:tcPr>
          <w:p w14:paraId="2A0FAF6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品牌型号</w:t>
            </w:r>
          </w:p>
        </w:tc>
        <w:tc>
          <w:tcPr>
            <w:tcW w:w="827" w:type="dxa"/>
            <w:noWrap w:val="0"/>
            <w:vAlign w:val="center"/>
          </w:tcPr>
          <w:p w14:paraId="6015E3BA">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800" w:type="dxa"/>
            <w:noWrap w:val="0"/>
            <w:vAlign w:val="center"/>
          </w:tcPr>
          <w:p w14:paraId="3F016BE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709" w:type="dxa"/>
            <w:noWrap w:val="0"/>
            <w:vAlign w:val="center"/>
          </w:tcPr>
          <w:p w14:paraId="61B0C59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单价</w:t>
            </w:r>
          </w:p>
        </w:tc>
        <w:tc>
          <w:tcPr>
            <w:tcW w:w="992" w:type="dxa"/>
            <w:noWrap w:val="0"/>
            <w:vAlign w:val="center"/>
          </w:tcPr>
          <w:p w14:paraId="4C7E905E">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1262" w:type="dxa"/>
            <w:noWrap w:val="0"/>
            <w:vAlign w:val="center"/>
          </w:tcPr>
          <w:p w14:paraId="792F09F3">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质保期</w:t>
            </w:r>
          </w:p>
        </w:tc>
        <w:tc>
          <w:tcPr>
            <w:tcW w:w="853" w:type="dxa"/>
            <w:noWrap w:val="0"/>
            <w:vAlign w:val="center"/>
          </w:tcPr>
          <w:p w14:paraId="2C1CD82F">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77F6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23A6D1E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8C318B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72CAC661">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061BDC90">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04751C2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19D2DB02">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E2CAB67">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0933049C">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60C0B83">
            <w:pPr>
              <w:pStyle w:val="17"/>
              <w:spacing w:line="340" w:lineRule="exact"/>
              <w:ind w:left="0" w:leftChars="0" w:firstLine="0" w:firstLineChars="0"/>
              <w:jc w:val="both"/>
              <w:rPr>
                <w:rFonts w:hint="eastAsia" w:ascii="仿宋" w:hAnsi="仿宋" w:eastAsia="仿宋" w:cs="仿宋"/>
                <w:color w:val="auto"/>
                <w:sz w:val="24"/>
                <w:szCs w:val="24"/>
              </w:rPr>
            </w:pPr>
          </w:p>
        </w:tc>
      </w:tr>
      <w:tr w14:paraId="2AF0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0E75CE76">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D7DB82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4E3AB6B">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8449117">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374562F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08D434D3">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8C047A5">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67AF166E">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3B8B6B9">
            <w:pPr>
              <w:pStyle w:val="17"/>
              <w:spacing w:line="340" w:lineRule="exact"/>
              <w:ind w:left="0" w:leftChars="0" w:firstLine="0" w:firstLineChars="0"/>
              <w:jc w:val="both"/>
              <w:rPr>
                <w:rFonts w:hint="eastAsia" w:ascii="仿宋" w:hAnsi="仿宋" w:eastAsia="仿宋" w:cs="仿宋"/>
                <w:color w:val="auto"/>
                <w:sz w:val="24"/>
                <w:szCs w:val="24"/>
              </w:rPr>
            </w:pPr>
          </w:p>
        </w:tc>
      </w:tr>
      <w:tr w14:paraId="3B6B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64B1B09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E728A32">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57E142D">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78832CF8">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4A5EF19E">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23694D25">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641483B">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5D26F8">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E6F90D6">
            <w:pPr>
              <w:pStyle w:val="17"/>
              <w:spacing w:line="340" w:lineRule="exact"/>
              <w:ind w:left="0" w:leftChars="0" w:firstLine="0" w:firstLineChars="0"/>
              <w:jc w:val="both"/>
              <w:rPr>
                <w:rFonts w:hint="eastAsia" w:ascii="仿宋" w:hAnsi="仿宋" w:eastAsia="仿宋" w:cs="仿宋"/>
                <w:color w:val="auto"/>
                <w:sz w:val="24"/>
                <w:szCs w:val="24"/>
              </w:rPr>
            </w:pPr>
          </w:p>
        </w:tc>
      </w:tr>
      <w:tr w14:paraId="494F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57506967">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F2A747D">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5576A0AA">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F448575">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8689BE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4FFA3F3E">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361E4440">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76A25C03">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E7B2805">
            <w:pPr>
              <w:pStyle w:val="17"/>
              <w:spacing w:line="340" w:lineRule="exact"/>
              <w:ind w:left="0" w:leftChars="0" w:firstLine="0" w:firstLineChars="0"/>
              <w:jc w:val="both"/>
              <w:rPr>
                <w:rFonts w:hint="eastAsia" w:ascii="仿宋" w:hAnsi="仿宋" w:eastAsia="仿宋" w:cs="仿宋"/>
                <w:color w:val="auto"/>
                <w:sz w:val="24"/>
                <w:szCs w:val="24"/>
              </w:rPr>
            </w:pPr>
          </w:p>
        </w:tc>
      </w:tr>
      <w:tr w14:paraId="5CE7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DC9E2D">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44F5A1D9">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EF187E9">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578D3A6">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BCC4F24">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39698E87">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68373D5D">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10582C79">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642C8EE">
            <w:pPr>
              <w:pStyle w:val="17"/>
              <w:spacing w:line="340" w:lineRule="exact"/>
              <w:ind w:left="0" w:leftChars="0" w:firstLine="0" w:firstLineChars="0"/>
              <w:jc w:val="both"/>
              <w:rPr>
                <w:rFonts w:hint="eastAsia" w:ascii="仿宋" w:hAnsi="仿宋" w:eastAsia="仿宋" w:cs="仿宋"/>
                <w:color w:val="auto"/>
                <w:sz w:val="24"/>
                <w:szCs w:val="24"/>
              </w:rPr>
            </w:pPr>
          </w:p>
        </w:tc>
      </w:tr>
      <w:tr w14:paraId="3C4B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BB829E">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034D59B">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DFDD83C">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6AE7C619">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4E7F10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6D46CC99">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2E0856B6">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70AE16">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A779C09">
            <w:pPr>
              <w:pStyle w:val="17"/>
              <w:spacing w:line="340" w:lineRule="exact"/>
              <w:ind w:left="0" w:leftChars="0" w:firstLine="0" w:firstLineChars="0"/>
              <w:jc w:val="both"/>
              <w:rPr>
                <w:rFonts w:hint="eastAsia" w:ascii="仿宋" w:hAnsi="仿宋" w:eastAsia="仿宋" w:cs="仿宋"/>
                <w:color w:val="auto"/>
                <w:sz w:val="24"/>
                <w:szCs w:val="24"/>
              </w:rPr>
            </w:pPr>
          </w:p>
        </w:tc>
      </w:tr>
      <w:tr w14:paraId="3225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466A3D74">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085D7CE">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1E2535AF">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495384BE">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6D8ABD1">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7FC21800">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0C45981">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3186B45F">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4EB0CBA0">
            <w:pPr>
              <w:pStyle w:val="17"/>
              <w:spacing w:line="340" w:lineRule="exact"/>
              <w:ind w:left="0" w:leftChars="0" w:firstLine="0" w:firstLineChars="0"/>
              <w:jc w:val="both"/>
              <w:rPr>
                <w:rFonts w:hint="eastAsia" w:ascii="仿宋" w:hAnsi="仿宋" w:eastAsia="仿宋" w:cs="仿宋"/>
                <w:color w:val="auto"/>
                <w:sz w:val="24"/>
                <w:szCs w:val="24"/>
              </w:rPr>
            </w:pPr>
          </w:p>
        </w:tc>
      </w:tr>
      <w:tr w14:paraId="1613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98" w:type="dxa"/>
            <w:gridSpan w:val="9"/>
            <w:noWrap w:val="0"/>
            <w:vAlign w:val="center"/>
          </w:tcPr>
          <w:p w14:paraId="7DA60C9E">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总价（</w:t>
            </w:r>
            <w:r>
              <w:rPr>
                <w:rFonts w:hint="eastAsia" w:ascii="仿宋" w:hAnsi="仿宋" w:eastAsia="仿宋" w:cs="仿宋"/>
                <w:color w:val="auto"/>
                <w:sz w:val="24"/>
                <w:szCs w:val="24"/>
                <w:lang w:val="en-US" w:eastAsia="zh-CN"/>
              </w:rPr>
              <w:t>含税</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其中不含税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元，增值税税率：</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w:t>
            </w:r>
          </w:p>
        </w:tc>
      </w:tr>
    </w:tbl>
    <w:p w14:paraId="4A9E597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备注：以上总金额包含与产品采购相关的全部价款。（包括但不限于海关、税票、运输、卸货、保险费用等），要求乙方提供增值税专用发票及财务需要的相关资料, 其发票内容与合同清单的一致。 </w:t>
      </w:r>
    </w:p>
    <w:p w14:paraId="7776C62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第二条：付款方式</w:t>
      </w:r>
    </w:p>
    <w:p w14:paraId="39E15F42">
      <w:pPr>
        <w:tabs>
          <w:tab w:val="left" w:pos="480"/>
        </w:tabs>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1、付款条件:合同签订后个7日内支付50%预付款，货到现场安装验收合格后3个月付清尾款。注：付款时供应商须提供正规发票（因发票问题而导致无法正常付款的，责任由供应商自己承担）。</w:t>
      </w:r>
    </w:p>
    <w:p w14:paraId="50D36E2D">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2、付款形式：银行转账。</w:t>
      </w:r>
    </w:p>
    <w:p w14:paraId="0DD93EB7">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1）甲方账户信息：</w:t>
      </w:r>
    </w:p>
    <w:p w14:paraId="0AB5850F">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户名：江苏省淮安市保安服务有限公司</w:t>
      </w:r>
    </w:p>
    <w:p w14:paraId="215289D9">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开户银行：中国建设银行淮安分行营业部</w:t>
      </w:r>
    </w:p>
    <w:p w14:paraId="1D1461EB">
      <w:pPr>
        <w:pStyle w:val="5"/>
        <w:keepNext w:val="0"/>
        <w:keepLines w:val="0"/>
        <w:pageBreakBefore w:val="0"/>
        <w:widowControl w:val="0"/>
        <w:numPr>
          <w:ilvl w:val="1"/>
          <w:numId w:val="0"/>
        </w:numPr>
        <w:shd w:val="clear"/>
        <w:kinsoku/>
        <w:wordWrap/>
        <w:overflowPunct/>
        <w:topLinePunct w:val="0"/>
        <w:autoSpaceDE/>
        <w:autoSpaceDN/>
        <w:bidi w:val="0"/>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账号：32001728636050797351</w:t>
      </w:r>
    </w:p>
    <w:p w14:paraId="711C5813">
      <w:pPr>
        <w:keepNext w:val="0"/>
        <w:keepLines w:val="0"/>
        <w:pageBreakBefore w:val="0"/>
        <w:widowControl w:val="0"/>
        <w:numPr>
          <w:ilvl w:val="0"/>
          <w:numId w:val="0"/>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2）乙方账户信息：</w:t>
      </w:r>
    </w:p>
    <w:p w14:paraId="65E9643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收款户名：</w:t>
      </w:r>
    </w:p>
    <w:p w14:paraId="213B0009">
      <w:pPr>
        <w:pStyle w:val="5"/>
        <w:keepNext w:val="0"/>
        <w:keepLines w:val="0"/>
        <w:pageBreakBefore w:val="0"/>
        <w:widowControl w:val="0"/>
        <w:numPr>
          <w:ilvl w:val="1"/>
          <w:numId w:val="0"/>
        </w:numPr>
        <w:shd w:val="clear"/>
        <w:kinsoku/>
        <w:wordWrap/>
        <w:overflowPunct/>
        <w:topLinePunct w:val="0"/>
        <w:autoSpaceDE/>
        <w:autoSpaceDN/>
        <w:bidi w:val="0"/>
        <w:adjustRightInd/>
        <w:snapToGrid/>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w:t>
      </w:r>
    </w:p>
    <w:p w14:paraId="74337EA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开户行：</w:t>
      </w:r>
    </w:p>
    <w:p w14:paraId="27AF7028">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第三条：交货方式和时间</w:t>
      </w:r>
    </w:p>
    <w:p w14:paraId="4301387C">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本合同供货时间和地点在</w:t>
      </w:r>
      <w:r>
        <w:rPr>
          <w:rFonts w:hint="eastAsia" w:ascii="仿宋" w:hAnsi="仿宋" w:eastAsia="仿宋" w:cs="仿宋"/>
          <w:color w:val="auto"/>
          <w:sz w:val="24"/>
          <w:szCs w:val="24"/>
          <w:lang w:val="en-US" w:eastAsia="zh-CN"/>
        </w:rPr>
        <w:t>询价</w:t>
      </w:r>
      <w:r>
        <w:rPr>
          <w:rFonts w:hint="eastAsia" w:ascii="仿宋" w:hAnsi="仿宋" w:eastAsia="仿宋" w:cs="仿宋"/>
          <w:color w:val="auto"/>
          <w:sz w:val="24"/>
          <w:szCs w:val="24"/>
        </w:rPr>
        <w:t>文件中有明确规定</w:t>
      </w:r>
      <w:r>
        <w:rPr>
          <w:rFonts w:hint="eastAsia" w:ascii="仿宋" w:hAnsi="仿宋" w:eastAsia="仿宋" w:cs="仿宋"/>
          <w:color w:val="auto"/>
          <w:sz w:val="24"/>
          <w:szCs w:val="24"/>
          <w:lang w:val="en-US" w:eastAsia="zh-CN"/>
        </w:rPr>
        <w:t>。</w:t>
      </w:r>
    </w:p>
    <w:p w14:paraId="60B2DF0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2、甲方接收产品并验收签字前，产品的运输费用及产品毁损、灭失的风险由乙方承担。</w:t>
      </w:r>
    </w:p>
    <w:p w14:paraId="420E4A5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收到甲方的发货通知后，乙方发货，本合同生效。乙方交付产品时，应确保提供前述产品为全新正品，要求乙方提供货物直发现场的签收确认单，必须有本条款第一项甲方指定人员签字的收货清单为依据，否则视为乙方未完成交货。（附件为乙方盖章送货单）</w:t>
      </w:r>
    </w:p>
    <w:p w14:paraId="0514182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4、如下资料需随货提供：</w:t>
      </w:r>
    </w:p>
    <w:p w14:paraId="6A809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（1）产品质量保证书；（2）产品检验报告；（3）产品合格证； </w:t>
      </w:r>
    </w:p>
    <w:p w14:paraId="73C4937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（4）产品使用及安装说明书； （5）其它资料文件随产品附带：                     </w:t>
      </w:r>
    </w:p>
    <w:p w14:paraId="3D56A8D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第四条：包装、委托运输、产品验收</w:t>
      </w:r>
    </w:p>
    <w:p w14:paraId="326F98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1、乙方应当采取防潮、防雨及前述产品性质相符的措施进行包装、运输，产品采用原厂包装，包装及运输应当符合国家相关防护标准，外包装物按有关环保规定处置。</w:t>
      </w:r>
    </w:p>
    <w:p w14:paraId="3713184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2、乙方交付的产品不符合甲方项目需求的标准，或乙方交付的质量及技术文件不符合第三条第4款之约定，甲方有权拒收部分或全部产品，由此产生的费用和损失由乙方承担。</w:t>
      </w:r>
    </w:p>
    <w:p w14:paraId="60A0F098">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3、乙方交付的产品数量、质量、规格不符合合同约定标准，甲方有权要求乙方在3日内补齐或更换约定质量、技术标准的产品，并承担延迟、更换产品的相关费用。</w:t>
      </w:r>
    </w:p>
    <w:p w14:paraId="7D40C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4、甲方对乙方交付的产品进行签收，不视为甲方对乙方交付产品质量的认可。</w:t>
      </w:r>
    </w:p>
    <w:p w14:paraId="24601ED2">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5、甲方验收依据合同清单或双方签署的技术协议书执行。</w:t>
      </w:r>
    </w:p>
    <w:p w14:paraId="0EC3EB9C">
      <w:pPr>
        <w:bidi w:val="0"/>
        <w:ind w:firstLine="482" w:firstLineChars="200"/>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第五条: 技术支持、质量保证、售后服务、产品质保期</w:t>
      </w:r>
      <w:r>
        <w:rPr>
          <w:rFonts w:hint="eastAsia" w:ascii="仿宋" w:hAnsi="仿宋" w:eastAsia="仿宋" w:cs="仿宋"/>
          <w:color w:val="auto"/>
          <w:sz w:val="24"/>
          <w:szCs w:val="24"/>
          <w:lang w:val="en-US" w:eastAsia="zh-CN"/>
        </w:rPr>
        <w:t xml:space="preserve">              </w:t>
      </w:r>
    </w:p>
    <w:p w14:paraId="747AD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1、乙方所交付货物的售后服务标准依据原厂商相关规定执行。</w:t>
      </w:r>
    </w:p>
    <w:p w14:paraId="0EA06F3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2、本合同项下产品质保期为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年，以设备验收单签字确认起算。甲方使用设</w:t>
      </w:r>
      <w:r>
        <w:rPr>
          <w:rFonts w:hint="eastAsia" w:ascii="仿宋" w:hAnsi="仿宋" w:eastAsia="仿宋" w:cs="仿宋"/>
          <w:color w:val="auto"/>
          <w:sz w:val="24"/>
          <w:szCs w:val="24"/>
          <w:lang w:val="en-US" w:eastAsia="zh-CN"/>
        </w:rPr>
        <w:t>备发生质量问题，甲方有权要求乙方在 4 小时内响应并进行电话说明，同时对问题产品在当日进行退货、更换、维修手续，保证 3 日内恢复正常使用功能，并承担由此产生所有的费用。</w:t>
      </w:r>
    </w:p>
    <w:p w14:paraId="746F824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3、乙方保证提供产品价格、参数、货期满足甲方项目实施需求，如甲方发现不能满足项目需求时，乙方需在24小时内协调处理，同时双方重新签署合同。</w:t>
      </w:r>
    </w:p>
    <w:p w14:paraId="263A56D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4、质量要求：乙方提供产品符合国家质量标准和需方生产的要求（环保和安全性能应符合国家有关要求），需注明以下技术标准具体条款，国家军用标准（）、国家标准（）、行业标准（）、企业标准（） 并提供相关资料。</w:t>
      </w:r>
    </w:p>
    <w:p w14:paraId="3F2CAD3B">
      <w:pPr>
        <w:bidi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第六条: 货物风险及所有权</w:t>
      </w:r>
    </w:p>
    <w:p w14:paraId="2F33ACF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1、甲方确认交付完成后，货物所有权归甲方所有。</w:t>
      </w:r>
    </w:p>
    <w:p w14:paraId="1E98EC2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2、甲、乙双方针对本合同内容应有保密义务，在本合同期满、解除或终止后仍然有效。</w:t>
      </w:r>
    </w:p>
    <w:p w14:paraId="14490C3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第七条: 违约责任</w:t>
      </w:r>
    </w:p>
    <w:p w14:paraId="755111B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无法按时交货，应依照合同总额按日千分之[四]向甲方支付违约金。如乙方迟延交货超过[ 5 ]日，甲方有权立即解除合同，乙方应当退回甲方支付的全部费用，并向甲方支付合同总额20%的违约金；甲方也可选择继续履行合同，乙方应当向甲方支付合同金额20% 的违约金，甲方有权自应付货款中扣除相应金额。</w:t>
      </w:r>
    </w:p>
    <w:p w14:paraId="444E79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2、乙方所提供货品因质量及售后等问题造成甲方项目暂停或停滞，乙方需对因此给甲方造成的全部损失承担赔偿责任，并向甲方支付合同金额20%的违约金。</w:t>
      </w:r>
    </w:p>
    <w:p w14:paraId="0EEED08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3、乙方若有任何违反本合同的行为，甲方均有权立即对乙方暂停付款并无需通知乙方，直至相关问题经确认已妥善解决为止。甲方也可根据实际情况 ，直接从应付乙方款项或乙方支付的履约质保金中扣除相关款项，以解决乙方违约行为所产生的问题，乙方对此已知且无任何异议。</w:t>
      </w:r>
    </w:p>
    <w:p w14:paraId="16226F8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4、乙方承诺，未经甲方书面明确授权，乙方不得以自己名义或甲方名义直接向业主方收取任何款项或主张任何权利。</w:t>
      </w:r>
    </w:p>
    <w:p w14:paraId="3C95343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当甲方向业主方主张合同欠款或进行索赔（包括但不限于发函、仲裁、诉讼、调解等），需要乙方提供相关证据资料或进行协助时，乙方应无条件配合，对甲方主张合同欠款或进行索赔所产生的相关费用（包括但不限于律师费、仲裁、诉讼、调解费用等），由乙方按与其相关的索赔比例承担；乙方不配合或拒绝承担相关费用的，视为乙方放弃索赔权利。</w:t>
      </w:r>
    </w:p>
    <w:p w14:paraId="73CE195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在合同有效期及合同终止后两年内，甲乙双方均有责任对因本合同而接触或或知悉的对方公司有关信息予以严格保密，保密信息包括但不限于：与合同有关的讨论、谈判、本合同内容，项目信息，产品价格以及其他任何标记或指明为“保密”、“受控”等字样的载体及其内含信息。一方违反保密义务造成对方损失的，应当向对方承担赔偿责任。</w:t>
      </w:r>
    </w:p>
    <w:p w14:paraId="16F4FBF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7、因乙方付款信息提供错误等原因导致甲方财务付款异常的，甲方付款时间自动延期一个月执行。乙方不得因此拒绝或延期履行发货、售后等合同义务，否则应当按照合同约定承担违约责任。</w:t>
      </w:r>
    </w:p>
    <w:p w14:paraId="4CFEC88F">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8、若成交供应商不能履行，成交供应商需缴纳违约金。违约金为成交价的10%。若成交供应商在规定时间内没有缴纳违约金，将被列入我公司采购黑名单。</w:t>
      </w:r>
    </w:p>
    <w:p w14:paraId="20D1D778">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其中“不能履行”的情形有1.未按时发货或未发货2.已成为成交供应商但未在规定期限内与采购人签订合同3.发货地址未发到甲方指定地址。若成交供应商有以上情形，成交供应商都需要向采购人缴纳违约金。（违约金为成交价的10%）</w:t>
      </w:r>
    </w:p>
    <w:p w14:paraId="539E6175">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第八条：合同纠纷的解决</w:t>
      </w:r>
    </w:p>
    <w:p w14:paraId="1BF83F9B">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如双方在合同履行发生争议，应友好协商解决。协商不成，在本合同签订地人民法院起诉。</w:t>
      </w:r>
    </w:p>
    <w:p w14:paraId="48996447">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第九条：注意事项</w:t>
      </w:r>
    </w:p>
    <w:p w14:paraId="1D5D93BD">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1、有关本合同条款的修改、补充和变更，必须经双方协商一致，并以书面形式确定。</w:t>
      </w:r>
    </w:p>
    <w:p w14:paraId="6E3EB1F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合同中设备价格应包含签订合同时实行税对应相关税额，相关税率、税差等情况依据国家税务局相关调整文件进行变更，若合同存在国家税率变更时，未在纳税义务发生时进行开具发票，及合同后续开具发票，均需要执行现行国家税率政策，对应进行合同总金额调整。</w:t>
      </w:r>
    </w:p>
    <w:p w14:paraId="7E7E731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3、合同双方应当维护公平竞争环境，遵循法律法规和国际公认的商业道德标准/准则，禁止贿赂，禁止其他不正当竞争行为。</w:t>
      </w:r>
    </w:p>
    <w:p w14:paraId="76728DB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4、双方约定：本合同及其附件、扫描件同等有效；</w:t>
      </w:r>
    </w:p>
    <w:p w14:paraId="10D3606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5、本合同一式叁份，甲方贰份，乙方壹份，具有同等法律效力。</w:t>
      </w:r>
    </w:p>
    <w:p w14:paraId="6D119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6、为方便合同履行，乙方指派</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作为本合同履行乙方的授权代表人，联系方式：</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。乙方指派的授权代表人，代表乙方发出指令，确认合同履行中的相关事宜，签收往来函件，变更、调整合同条款，解除、终止本合同及其他相关事宜。</w:t>
      </w:r>
    </w:p>
    <w:p w14:paraId="65774B6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甲    方:                          乙    方:</w:t>
      </w:r>
    </w:p>
    <w:p w14:paraId="506F43B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单位盖章:（签章）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单位盖章:（签章）</w:t>
      </w:r>
    </w:p>
    <w:p w14:paraId="1DF5D161">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代表签字:                          代表签字:</w:t>
      </w:r>
    </w:p>
    <w:p w14:paraId="070B3987">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签定日期:                          签定日期:</w:t>
      </w:r>
    </w:p>
    <w:p w14:paraId="01BA42C4">
      <w:pPr>
        <w:ind w:left="0" w:leftChars="0" w:firstLine="0" w:firstLineChars="0"/>
      </w:pPr>
    </w:p>
    <w:p w14:paraId="2CEEC135"/>
    <w:p w14:paraId="3DC037E7"/>
    <w:p w14:paraId="3A8653B5"/>
    <w:sectPr>
      <w:pgSz w:w="11906" w:h="16838"/>
      <w:pgMar w:top="1701" w:right="1587" w:bottom="1587" w:left="1587" w:header="851" w:footer="992" w:gutter="0"/>
      <w:cols w:space="0" w:num="1"/>
      <w:rtlGutter w:val="0"/>
      <w:docGrid w:type="lines" w:linePitch="33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仿宋 Std R">
    <w:altName w:val="仿宋"/>
    <w:panose1 w:val="020204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B9EB8B"/>
    <w:multiLevelType w:val="multilevel"/>
    <w:tmpl w:val="54B9EB8B"/>
    <w:lvl w:ilvl="0" w:tentative="0">
      <w:start w:val="1"/>
      <w:numFmt w:val="chineseCounting"/>
      <w:pStyle w:val="2"/>
      <w:suff w:val="nothing"/>
      <w:lvlText w:val="%1、"/>
      <w:lvlJc w:val="left"/>
      <w:pPr>
        <w:tabs>
          <w:tab w:val="left" w:pos="0"/>
        </w:tabs>
        <w:ind w:left="0" w:leftChars="0" w:firstLine="0" w:firstLineChars="0"/>
      </w:pPr>
      <w:rPr>
        <w:rFonts w:hint="eastAsia" w:ascii="宋体" w:hAnsi="宋体" w:eastAsia="宋体" w:cs="宋体"/>
      </w:rPr>
    </w:lvl>
    <w:lvl w:ilvl="1" w:tentative="0">
      <w:start w:val="1"/>
      <w:numFmt w:val="decimal"/>
      <w:pStyle w:val="5"/>
      <w:isLgl/>
      <w:lvlText w:val="%1.%2."/>
      <w:lvlJc w:val="left"/>
      <w:pPr>
        <w:ind w:left="567" w:hanging="567"/>
      </w:pPr>
      <w:rPr>
        <w:rFonts w:hint="eastAsia" w:ascii="宋体" w:hAnsi="宋体" w:eastAsia="宋体" w:cs="宋体"/>
      </w:rPr>
    </w:lvl>
    <w:lvl w:ilvl="2" w:tentative="0">
      <w:start w:val="1"/>
      <w:numFmt w:val="decimal"/>
      <w:pStyle w:val="6"/>
      <w:isLgl/>
      <w:lvlText w:val="%1.%2.%3."/>
      <w:lvlJc w:val="left"/>
      <w:pPr>
        <w:ind w:left="709" w:hanging="709"/>
      </w:pPr>
      <w:rPr>
        <w:rFonts w:hint="eastAsia" w:ascii="宋体" w:hAnsi="宋体" w:eastAsia="宋体" w:cs="宋体"/>
      </w:rPr>
    </w:lvl>
    <w:lvl w:ilvl="3" w:tentative="0">
      <w:start w:val="1"/>
      <w:numFmt w:val="decimal"/>
      <w:pStyle w:val="7"/>
      <w:isLgl/>
      <w:lvlText w:val="%1.%2.%3.%4."/>
      <w:lvlJc w:val="left"/>
      <w:pPr>
        <w:ind w:left="850" w:hanging="850"/>
      </w:pPr>
      <w:rPr>
        <w:rFonts w:hint="eastAsia" w:ascii="宋体" w:hAnsi="宋体" w:eastAsia="宋体" w:cs="宋体"/>
      </w:rPr>
    </w:lvl>
    <w:lvl w:ilvl="4" w:tentative="0">
      <w:start w:val="1"/>
      <w:numFmt w:val="decimal"/>
      <w:pStyle w:val="8"/>
      <w:isLgl/>
      <w:lvlText w:val="%1.%2.%3.%4.%5."/>
      <w:lvlJc w:val="left"/>
      <w:pPr>
        <w:ind w:left="991" w:hanging="991"/>
      </w:pPr>
      <w:rPr>
        <w:rFonts w:hint="eastAsia" w:ascii="宋体" w:hAnsi="宋体" w:eastAsia="宋体" w:cs="宋体"/>
      </w:rPr>
    </w:lvl>
    <w:lvl w:ilvl="5" w:tentative="0">
      <w:start w:val="1"/>
      <w:numFmt w:val="decimal"/>
      <w:pStyle w:val="9"/>
      <w:isLgl/>
      <w:lvlText w:val="%1.%2.%3.%4.%5.%6."/>
      <w:lvlJc w:val="left"/>
      <w:pPr>
        <w:ind w:left="1134" w:hanging="1134"/>
      </w:pPr>
      <w:rPr>
        <w:rFonts w:hint="eastAsia" w:ascii="宋体" w:hAnsi="宋体" w:eastAsia="宋体" w:cs="宋体"/>
      </w:rPr>
    </w:lvl>
    <w:lvl w:ilvl="6" w:tentative="0">
      <w:start w:val="1"/>
      <w:numFmt w:val="decimal"/>
      <w:pStyle w:val="10"/>
      <w:isLgl/>
      <w:lvlText w:val="%1.%2.%3.%4.%5.%6.%7."/>
      <w:lvlJc w:val="left"/>
      <w:pPr>
        <w:ind w:left="1275" w:hanging="1275"/>
      </w:pPr>
      <w:rPr>
        <w:rFonts w:hint="eastAsia" w:ascii="宋体" w:hAnsi="宋体" w:eastAsia="宋体" w:cs="宋体"/>
      </w:rPr>
    </w:lvl>
    <w:lvl w:ilvl="7" w:tentative="0">
      <w:start w:val="1"/>
      <w:numFmt w:val="decimal"/>
      <w:pStyle w:val="11"/>
      <w:isLgl/>
      <w:lvlText w:val="%1.%2.%3.%4.%5.%6.%7.%8."/>
      <w:lvlJc w:val="left"/>
      <w:pPr>
        <w:ind w:left="1418" w:hanging="1418"/>
      </w:pPr>
      <w:rPr>
        <w:rFonts w:hint="eastAsia" w:ascii="宋体" w:hAnsi="宋体" w:eastAsia="宋体" w:cs="宋体"/>
      </w:rPr>
    </w:lvl>
    <w:lvl w:ilvl="8" w:tentative="0">
      <w:start w:val="1"/>
      <w:numFmt w:val="decimal"/>
      <w:pStyle w:val="12"/>
      <w:isLgl/>
      <w:lvlText w:val="%1.%2.%3.%4.%5.%6.%7.%8.%9."/>
      <w:lvlJc w:val="left"/>
      <w:pPr>
        <w:ind w:left="1558" w:hanging="1558"/>
      </w:pPr>
      <w:rPr>
        <w:rFonts w:hint="eastAsia" w:ascii="宋体" w:hAnsi="宋体" w:eastAsia="宋体" w:cs="宋体"/>
      </w:rPr>
    </w:lvl>
  </w:abstractNum>
  <w:abstractNum w:abstractNumId="1">
    <w:nsid w:val="76BACEE7"/>
    <w:multiLevelType w:val="singleLevel"/>
    <w:tmpl w:val="76BACEE7"/>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MDNkNWQ0ZWMxNjY0YzI3ODdkN2UzOWY5OGRlNzEifQ=="/>
  </w:docVars>
  <w:rsids>
    <w:rsidRoot w:val="1F741D8C"/>
    <w:rsid w:val="00F471B2"/>
    <w:rsid w:val="01413809"/>
    <w:rsid w:val="01B4311A"/>
    <w:rsid w:val="020D7BB0"/>
    <w:rsid w:val="023D1BA8"/>
    <w:rsid w:val="024B07E7"/>
    <w:rsid w:val="02635986"/>
    <w:rsid w:val="02BD280C"/>
    <w:rsid w:val="02BD7BE0"/>
    <w:rsid w:val="03626CD0"/>
    <w:rsid w:val="03BB36BB"/>
    <w:rsid w:val="04741F2A"/>
    <w:rsid w:val="058E7D29"/>
    <w:rsid w:val="06E65ABA"/>
    <w:rsid w:val="07CC21FA"/>
    <w:rsid w:val="08193505"/>
    <w:rsid w:val="082F30B8"/>
    <w:rsid w:val="0886108C"/>
    <w:rsid w:val="09DB488A"/>
    <w:rsid w:val="09FE7C7D"/>
    <w:rsid w:val="0A443009"/>
    <w:rsid w:val="0A831766"/>
    <w:rsid w:val="0BC2638F"/>
    <w:rsid w:val="0BDC6B78"/>
    <w:rsid w:val="0C882A07"/>
    <w:rsid w:val="0CD142BE"/>
    <w:rsid w:val="0D681C76"/>
    <w:rsid w:val="0D6B0E25"/>
    <w:rsid w:val="0D78696A"/>
    <w:rsid w:val="0DBF30C4"/>
    <w:rsid w:val="0DD96789"/>
    <w:rsid w:val="0F0F7410"/>
    <w:rsid w:val="100159F1"/>
    <w:rsid w:val="10275305"/>
    <w:rsid w:val="10941E2C"/>
    <w:rsid w:val="1106690F"/>
    <w:rsid w:val="115C3F6A"/>
    <w:rsid w:val="11F315DF"/>
    <w:rsid w:val="133B07D3"/>
    <w:rsid w:val="138B678C"/>
    <w:rsid w:val="13A43BC7"/>
    <w:rsid w:val="144B0B25"/>
    <w:rsid w:val="14F94AB5"/>
    <w:rsid w:val="1516314A"/>
    <w:rsid w:val="157C124F"/>
    <w:rsid w:val="15A123AF"/>
    <w:rsid w:val="15B405D8"/>
    <w:rsid w:val="16B37629"/>
    <w:rsid w:val="173B2189"/>
    <w:rsid w:val="17CE6EF3"/>
    <w:rsid w:val="185D2018"/>
    <w:rsid w:val="1870435E"/>
    <w:rsid w:val="18B65219"/>
    <w:rsid w:val="193251CA"/>
    <w:rsid w:val="1959078F"/>
    <w:rsid w:val="19850B90"/>
    <w:rsid w:val="1A48720E"/>
    <w:rsid w:val="1B811C42"/>
    <w:rsid w:val="1B96686D"/>
    <w:rsid w:val="1BB00C3B"/>
    <w:rsid w:val="1C1414B5"/>
    <w:rsid w:val="1C44694B"/>
    <w:rsid w:val="1CB642A6"/>
    <w:rsid w:val="1CBE542C"/>
    <w:rsid w:val="1CCD669D"/>
    <w:rsid w:val="1E434544"/>
    <w:rsid w:val="1F444EB4"/>
    <w:rsid w:val="1F741D8C"/>
    <w:rsid w:val="1FC0011B"/>
    <w:rsid w:val="1FF000D2"/>
    <w:rsid w:val="1FF040AD"/>
    <w:rsid w:val="200C3464"/>
    <w:rsid w:val="23B60935"/>
    <w:rsid w:val="245503E6"/>
    <w:rsid w:val="24874408"/>
    <w:rsid w:val="24883CAD"/>
    <w:rsid w:val="24BF2D95"/>
    <w:rsid w:val="259D1AFE"/>
    <w:rsid w:val="25BA7F75"/>
    <w:rsid w:val="25DE44B5"/>
    <w:rsid w:val="264801BD"/>
    <w:rsid w:val="267537D8"/>
    <w:rsid w:val="26A67AF4"/>
    <w:rsid w:val="26D0702D"/>
    <w:rsid w:val="27933CD9"/>
    <w:rsid w:val="27B75BEB"/>
    <w:rsid w:val="28126BBF"/>
    <w:rsid w:val="281D45C6"/>
    <w:rsid w:val="292E08DE"/>
    <w:rsid w:val="29E622D3"/>
    <w:rsid w:val="2A225DF1"/>
    <w:rsid w:val="2B6A410E"/>
    <w:rsid w:val="2B9E5DD1"/>
    <w:rsid w:val="2C605BEA"/>
    <w:rsid w:val="2C761843"/>
    <w:rsid w:val="2D4E2C33"/>
    <w:rsid w:val="2DC647A7"/>
    <w:rsid w:val="2E1B2848"/>
    <w:rsid w:val="2E1C17E4"/>
    <w:rsid w:val="2E342253"/>
    <w:rsid w:val="2FA05CF7"/>
    <w:rsid w:val="300D6BCC"/>
    <w:rsid w:val="30A001AC"/>
    <w:rsid w:val="31140310"/>
    <w:rsid w:val="318F1FBE"/>
    <w:rsid w:val="337A506E"/>
    <w:rsid w:val="339B7C29"/>
    <w:rsid w:val="345319C9"/>
    <w:rsid w:val="37A7439E"/>
    <w:rsid w:val="37CA2BC5"/>
    <w:rsid w:val="37F03342"/>
    <w:rsid w:val="38544E55"/>
    <w:rsid w:val="39064FC8"/>
    <w:rsid w:val="39963E4D"/>
    <w:rsid w:val="3A2C48CD"/>
    <w:rsid w:val="3B0F7CBC"/>
    <w:rsid w:val="3B275F4B"/>
    <w:rsid w:val="3D2363DE"/>
    <w:rsid w:val="3DA64A40"/>
    <w:rsid w:val="3E015FF2"/>
    <w:rsid w:val="3E4F32EC"/>
    <w:rsid w:val="3E5157CB"/>
    <w:rsid w:val="3E6D1EE0"/>
    <w:rsid w:val="40130CAF"/>
    <w:rsid w:val="40490B34"/>
    <w:rsid w:val="420E65EA"/>
    <w:rsid w:val="421050D4"/>
    <w:rsid w:val="42A9416B"/>
    <w:rsid w:val="42BF1B92"/>
    <w:rsid w:val="435E2995"/>
    <w:rsid w:val="43966372"/>
    <w:rsid w:val="44EF43A5"/>
    <w:rsid w:val="46AE2EAA"/>
    <w:rsid w:val="477060B2"/>
    <w:rsid w:val="47D32116"/>
    <w:rsid w:val="48116822"/>
    <w:rsid w:val="48832749"/>
    <w:rsid w:val="493C6A78"/>
    <w:rsid w:val="49AB2DE5"/>
    <w:rsid w:val="4A0D21C2"/>
    <w:rsid w:val="4A0E06F8"/>
    <w:rsid w:val="4B1A7BD1"/>
    <w:rsid w:val="4BB038DA"/>
    <w:rsid w:val="4C73767A"/>
    <w:rsid w:val="4D030046"/>
    <w:rsid w:val="4D871781"/>
    <w:rsid w:val="4E802F1D"/>
    <w:rsid w:val="4EF042FA"/>
    <w:rsid w:val="4FAF448B"/>
    <w:rsid w:val="50417986"/>
    <w:rsid w:val="50F73FA0"/>
    <w:rsid w:val="515E18DF"/>
    <w:rsid w:val="51765D9A"/>
    <w:rsid w:val="517D0941"/>
    <w:rsid w:val="521C7398"/>
    <w:rsid w:val="52446C35"/>
    <w:rsid w:val="527E16D3"/>
    <w:rsid w:val="528B2778"/>
    <w:rsid w:val="52C14E18"/>
    <w:rsid w:val="52E4668A"/>
    <w:rsid w:val="5316709E"/>
    <w:rsid w:val="534B7B17"/>
    <w:rsid w:val="54B57C0A"/>
    <w:rsid w:val="55FF6B96"/>
    <w:rsid w:val="56E07198"/>
    <w:rsid w:val="57221F02"/>
    <w:rsid w:val="57960F83"/>
    <w:rsid w:val="57DB3B40"/>
    <w:rsid w:val="58733762"/>
    <w:rsid w:val="58A15BF6"/>
    <w:rsid w:val="58DA37D1"/>
    <w:rsid w:val="590772D6"/>
    <w:rsid w:val="597E69B0"/>
    <w:rsid w:val="59D75C73"/>
    <w:rsid w:val="5AA4447D"/>
    <w:rsid w:val="5BBF6D32"/>
    <w:rsid w:val="5C02364F"/>
    <w:rsid w:val="5C4A6C71"/>
    <w:rsid w:val="5CA61E20"/>
    <w:rsid w:val="5D9E05A7"/>
    <w:rsid w:val="5DF96E76"/>
    <w:rsid w:val="5DFE3DF5"/>
    <w:rsid w:val="5E0F059C"/>
    <w:rsid w:val="5E385608"/>
    <w:rsid w:val="5EB9237C"/>
    <w:rsid w:val="5F0458F0"/>
    <w:rsid w:val="5FE226DD"/>
    <w:rsid w:val="60C33852"/>
    <w:rsid w:val="61547E11"/>
    <w:rsid w:val="61852A60"/>
    <w:rsid w:val="62567581"/>
    <w:rsid w:val="631F4682"/>
    <w:rsid w:val="63D4721D"/>
    <w:rsid w:val="640673E3"/>
    <w:rsid w:val="640F17B5"/>
    <w:rsid w:val="64467711"/>
    <w:rsid w:val="64E752C4"/>
    <w:rsid w:val="65DA0DD4"/>
    <w:rsid w:val="65F729C7"/>
    <w:rsid w:val="66934D57"/>
    <w:rsid w:val="66A27154"/>
    <w:rsid w:val="66A80E51"/>
    <w:rsid w:val="677551D7"/>
    <w:rsid w:val="68577F92"/>
    <w:rsid w:val="698D373B"/>
    <w:rsid w:val="69FD1FFD"/>
    <w:rsid w:val="6A2B5BCA"/>
    <w:rsid w:val="6AA75C6E"/>
    <w:rsid w:val="6BB31049"/>
    <w:rsid w:val="6BF15785"/>
    <w:rsid w:val="6C1442B0"/>
    <w:rsid w:val="6CF430F2"/>
    <w:rsid w:val="6D3C0639"/>
    <w:rsid w:val="6DB96BEC"/>
    <w:rsid w:val="6F321DFD"/>
    <w:rsid w:val="6F575DD1"/>
    <w:rsid w:val="70155795"/>
    <w:rsid w:val="702E6762"/>
    <w:rsid w:val="70314EAA"/>
    <w:rsid w:val="7044602E"/>
    <w:rsid w:val="706B3AE0"/>
    <w:rsid w:val="70A15D8A"/>
    <w:rsid w:val="71270FB3"/>
    <w:rsid w:val="71E07B02"/>
    <w:rsid w:val="71F66174"/>
    <w:rsid w:val="72C34258"/>
    <w:rsid w:val="73CE218C"/>
    <w:rsid w:val="74AA472D"/>
    <w:rsid w:val="768165E1"/>
    <w:rsid w:val="79DA1D09"/>
    <w:rsid w:val="7A182199"/>
    <w:rsid w:val="7A31327F"/>
    <w:rsid w:val="7A644061"/>
    <w:rsid w:val="7AE1770B"/>
    <w:rsid w:val="7B114A31"/>
    <w:rsid w:val="7CCE7826"/>
    <w:rsid w:val="7D0F483D"/>
    <w:rsid w:val="7E004848"/>
    <w:rsid w:val="7E37366F"/>
    <w:rsid w:val="7ED65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Calibri" w:hAnsi="Calibri" w:eastAsia="宋体" w:cs="Calibri"/>
      <w:kern w:val="2"/>
      <w:sz w:val="24"/>
      <w:szCs w:val="21"/>
      <w:lang w:val="en-US" w:eastAsia="zh-CN" w:bidi="ar-SA"/>
    </w:rPr>
  </w:style>
  <w:style w:type="paragraph" w:styleId="2">
    <w:name w:val="heading 1"/>
    <w:basedOn w:val="3"/>
    <w:next w:val="1"/>
    <w:autoRedefine/>
    <w:qFormat/>
    <w:uiPriority w:val="0"/>
    <w:pPr>
      <w:numPr>
        <w:ilvl w:val="0"/>
        <w:numId w:val="1"/>
      </w:numPr>
      <w:spacing w:line="360" w:lineRule="auto"/>
      <w:jc w:val="left"/>
      <w:outlineLvl w:val="0"/>
    </w:pPr>
    <w:rPr>
      <w:rFonts w:ascii="Times New Roman" w:hAnsi="Times New Roman" w:eastAsia="黑体" w:cs="Times New Roman"/>
      <w:bCs/>
      <w:kern w:val="44"/>
      <w:sz w:val="32"/>
      <w:szCs w:val="44"/>
    </w:rPr>
  </w:style>
  <w:style w:type="paragraph" w:styleId="5">
    <w:name w:val="heading 2"/>
    <w:basedOn w:val="1"/>
    <w:next w:val="1"/>
    <w:autoRedefine/>
    <w:semiHidden/>
    <w:unhideWhenUsed/>
    <w:qFormat/>
    <w:uiPriority w:val="0"/>
    <w:pPr>
      <w:keepNext/>
      <w:keepLines/>
      <w:numPr>
        <w:ilvl w:val="1"/>
        <w:numId w:val="1"/>
      </w:numPr>
      <w:spacing w:before="260" w:beforeLines="0" w:beforeAutospacing="0" w:after="260" w:afterLines="0" w:afterAutospacing="0" w:line="413" w:lineRule="auto"/>
      <w:ind w:left="567" w:hanging="567"/>
      <w:outlineLvl w:val="1"/>
    </w:pPr>
    <w:rPr>
      <w:rFonts w:ascii="Arial" w:hAnsi="Arial" w:eastAsia="黑体"/>
      <w:b/>
      <w:sz w:val="32"/>
    </w:rPr>
  </w:style>
  <w:style w:type="paragraph" w:styleId="6">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709" w:hanging="709"/>
      <w:outlineLvl w:val="2"/>
    </w:pPr>
    <w:rPr>
      <w:b/>
      <w:sz w:val="32"/>
    </w:rPr>
  </w:style>
  <w:style w:type="paragraph" w:styleId="7">
    <w:name w:val="heading 4"/>
    <w:basedOn w:val="1"/>
    <w:next w:val="1"/>
    <w:autoRedefine/>
    <w:semiHidden/>
    <w:unhideWhenUsed/>
    <w:qFormat/>
    <w:uiPriority w:val="0"/>
    <w:pPr>
      <w:keepNext/>
      <w:keepLines/>
      <w:numPr>
        <w:ilvl w:val="3"/>
        <w:numId w:val="1"/>
      </w:numPr>
      <w:spacing w:before="280" w:beforeLines="0" w:beforeAutospacing="0" w:after="290" w:afterLines="0" w:afterAutospacing="0" w:line="372" w:lineRule="auto"/>
      <w:ind w:left="850" w:hanging="850"/>
      <w:outlineLvl w:val="3"/>
    </w:pPr>
    <w:rPr>
      <w:rFonts w:ascii="Arial" w:hAnsi="Arial" w:eastAsia="黑体"/>
      <w:b/>
      <w:sz w:val="28"/>
    </w:rPr>
  </w:style>
  <w:style w:type="paragraph" w:styleId="8">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9">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10">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11">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2">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3">
    <w:name w:val="Title"/>
    <w:basedOn w:val="4"/>
    <w:next w:val="1"/>
    <w:autoRedefine/>
    <w:qFormat/>
    <w:uiPriority w:val="0"/>
    <w:pPr>
      <w:spacing w:before="240" w:beforeLines="0" w:beforeAutospacing="0" w:after="60" w:afterLines="0" w:afterAutospacing="0"/>
      <w:jc w:val="center"/>
      <w:outlineLvl w:val="0"/>
    </w:pPr>
    <w:rPr>
      <w:rFonts w:ascii="Arial" w:hAnsi="Arial"/>
      <w:b/>
      <w:sz w:val="32"/>
    </w:rPr>
  </w:style>
  <w:style w:type="paragraph" w:styleId="4">
    <w:name w:val="toc 2"/>
    <w:basedOn w:val="1"/>
    <w:next w:val="1"/>
    <w:autoRedefine/>
    <w:qFormat/>
    <w:uiPriority w:val="1"/>
    <w:pPr>
      <w:ind w:left="596"/>
    </w:pPr>
    <w:rPr>
      <w:rFonts w:ascii="宋体" w:hAnsi="宋体" w:eastAsia="宋体"/>
      <w:sz w:val="24"/>
      <w:szCs w:val="24"/>
    </w:rPr>
  </w:style>
  <w:style w:type="paragraph" w:styleId="13">
    <w:name w:val="Normal Indent"/>
    <w:basedOn w:val="1"/>
    <w:next w:val="1"/>
    <w:qFormat/>
    <w:uiPriority w:val="0"/>
    <w:pPr>
      <w:ind w:firstLine="420" w:firstLineChars="200"/>
    </w:pPr>
    <w:rPr>
      <w:rFonts w:ascii="Times New Roman" w:hAnsi="Times New Roman" w:eastAsia="宋体" w:cs="Times New Roman"/>
      <w:sz w:val="24"/>
      <w:szCs w:val="24"/>
    </w:rPr>
  </w:style>
  <w:style w:type="paragraph" w:styleId="14">
    <w:name w:val="toa heading"/>
    <w:basedOn w:val="1"/>
    <w:next w:val="1"/>
    <w:autoRedefine/>
    <w:qFormat/>
    <w:uiPriority w:val="0"/>
    <w:pPr>
      <w:spacing w:before="120"/>
    </w:pPr>
    <w:rPr>
      <w:rFonts w:ascii="Arial" w:hAnsi="Arial"/>
      <w:sz w:val="24"/>
    </w:rPr>
  </w:style>
  <w:style w:type="paragraph" w:styleId="15">
    <w:name w:val="Body Text"/>
    <w:basedOn w:val="1"/>
    <w:next w:val="1"/>
    <w:autoRedefine/>
    <w:unhideWhenUsed/>
    <w:qFormat/>
    <w:uiPriority w:val="99"/>
    <w:pPr>
      <w:spacing w:after="120"/>
    </w:pPr>
    <w:rPr>
      <w:sz w:val="28"/>
    </w:rPr>
  </w:style>
  <w:style w:type="paragraph" w:styleId="16">
    <w:name w:val="Body Text Indent"/>
    <w:basedOn w:val="1"/>
    <w:autoRedefine/>
    <w:qFormat/>
    <w:uiPriority w:val="99"/>
    <w:pPr>
      <w:spacing w:after="120"/>
      <w:ind w:left="420" w:leftChars="200"/>
    </w:pPr>
  </w:style>
  <w:style w:type="paragraph" w:styleId="17">
    <w:name w:val="Plain Text"/>
    <w:basedOn w:val="1"/>
    <w:next w:val="18"/>
    <w:autoRedefine/>
    <w:unhideWhenUsed/>
    <w:qFormat/>
    <w:uiPriority w:val="0"/>
    <w:rPr>
      <w:rFonts w:ascii="宋体" w:hAnsi="Courier New"/>
      <w:szCs w:val="20"/>
    </w:rPr>
  </w:style>
  <w:style w:type="paragraph" w:customStyle="1" w:styleId="1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Normal (Web)"/>
    <w:basedOn w:val="1"/>
    <w:autoRedefine/>
    <w:qFormat/>
    <w:uiPriority w:val="0"/>
    <w:rPr>
      <w:sz w:val="24"/>
    </w:rPr>
  </w:style>
  <w:style w:type="paragraph" w:styleId="22">
    <w:name w:val="Body Text First Indent"/>
    <w:basedOn w:val="1"/>
    <w:next w:val="23"/>
    <w:autoRedefine/>
    <w:qFormat/>
    <w:uiPriority w:val="0"/>
    <w:pPr>
      <w:widowControl w:val="0"/>
      <w:tabs>
        <w:tab w:val="left" w:pos="0"/>
      </w:tabs>
      <w:kinsoku/>
      <w:autoSpaceDE/>
      <w:autoSpaceDN/>
      <w:adjustRightInd/>
      <w:snapToGrid/>
      <w:ind w:firstLine="420" w:firstLineChars="100"/>
      <w:jc w:val="both"/>
      <w:textAlignment w:val="auto"/>
    </w:pPr>
    <w:rPr>
      <w:rFonts w:ascii="Calibri" w:hAnsi="Calibri" w:eastAsia="宋体" w:cs="Times New Roman"/>
      <w:snapToGrid/>
      <w:color w:val="auto"/>
      <w:kern w:val="2"/>
      <w:sz w:val="28"/>
      <w:szCs w:val="24"/>
    </w:rPr>
  </w:style>
  <w:style w:type="paragraph" w:styleId="23">
    <w:name w:val="Body Text First Indent 2"/>
    <w:basedOn w:val="16"/>
    <w:autoRedefine/>
    <w:qFormat/>
    <w:uiPriority w:val="99"/>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qFormat/>
    <w:uiPriority w:val="0"/>
    <w:rPr>
      <w:color w:val="0000FF"/>
      <w:u w:val="single"/>
    </w:rPr>
  </w:style>
  <w:style w:type="paragraph" w:customStyle="1" w:styleId="28">
    <w:name w:val="正文1"/>
    <w:next w:val="1"/>
    <w:autoRedefine/>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29">
    <w:name w:val="font11"/>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0">
    <w:name w:val="font61"/>
    <w:basedOn w:val="26"/>
    <w:autoRedefine/>
    <w:qFormat/>
    <w:uiPriority w:val="0"/>
    <w:rPr>
      <w:rFonts w:hint="eastAsia" w:ascii="宋体" w:hAnsi="宋体" w:eastAsia="宋体" w:cs="宋体"/>
      <w:color w:val="000000"/>
      <w:sz w:val="22"/>
      <w:szCs w:val="22"/>
      <w:u w:val="none"/>
    </w:rPr>
  </w:style>
  <w:style w:type="character" w:customStyle="1" w:styleId="31">
    <w:name w:val="font112"/>
    <w:basedOn w:val="26"/>
    <w:autoRedefine/>
    <w:qFormat/>
    <w:uiPriority w:val="0"/>
    <w:rPr>
      <w:rFonts w:hint="eastAsia" w:ascii="宋体" w:hAnsi="宋体" w:eastAsia="宋体" w:cs="宋体"/>
      <w:color w:val="000000"/>
      <w:sz w:val="24"/>
      <w:szCs w:val="24"/>
      <w:u w:val="none"/>
    </w:rPr>
  </w:style>
  <w:style w:type="character" w:customStyle="1" w:styleId="32">
    <w:name w:val="font21"/>
    <w:basedOn w:val="26"/>
    <w:autoRedefine/>
    <w:qFormat/>
    <w:uiPriority w:val="0"/>
    <w:rPr>
      <w:rFonts w:hint="eastAsia" w:ascii="宋体" w:hAnsi="宋体" w:eastAsia="宋体" w:cs="宋体"/>
      <w:color w:val="000000"/>
      <w:sz w:val="24"/>
      <w:szCs w:val="24"/>
      <w:u w:val="none"/>
    </w:rPr>
  </w:style>
  <w:style w:type="character" w:customStyle="1" w:styleId="33">
    <w:name w:val="font121"/>
    <w:basedOn w:val="26"/>
    <w:autoRedefine/>
    <w:qFormat/>
    <w:uiPriority w:val="0"/>
    <w:rPr>
      <w:rFonts w:hint="eastAsia" w:ascii="宋体" w:hAnsi="宋体" w:eastAsia="宋体" w:cs="宋体"/>
      <w:color w:val="000000"/>
      <w:sz w:val="24"/>
      <w:szCs w:val="24"/>
      <w:u w:val="single"/>
    </w:rPr>
  </w:style>
  <w:style w:type="character" w:customStyle="1" w:styleId="34">
    <w:name w:val="font101"/>
    <w:basedOn w:val="26"/>
    <w:autoRedefine/>
    <w:qFormat/>
    <w:uiPriority w:val="0"/>
    <w:rPr>
      <w:rFonts w:hint="eastAsia" w:ascii="黑体" w:hAnsi="宋体" w:eastAsia="黑体" w:cs="黑体"/>
      <w:color w:val="000000"/>
      <w:sz w:val="24"/>
      <w:szCs w:val="24"/>
      <w:u w:val="none"/>
    </w:rPr>
  </w:style>
  <w:style w:type="character" w:customStyle="1" w:styleId="35">
    <w:name w:val="font12"/>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6">
    <w:name w:val="font111"/>
    <w:basedOn w:val="26"/>
    <w:autoRedefine/>
    <w:qFormat/>
    <w:uiPriority w:val="0"/>
    <w:rPr>
      <w:rFonts w:hint="eastAsia" w:ascii="宋体" w:hAnsi="宋体" w:eastAsia="宋体" w:cs="宋体"/>
      <w:color w:val="000000"/>
      <w:sz w:val="24"/>
      <w:szCs w:val="24"/>
      <w:u w:val="single"/>
    </w:rPr>
  </w:style>
  <w:style w:type="character" w:customStyle="1" w:styleId="37">
    <w:name w:val="font91"/>
    <w:basedOn w:val="26"/>
    <w:autoRedefine/>
    <w:qFormat/>
    <w:uiPriority w:val="0"/>
    <w:rPr>
      <w:rFonts w:hint="eastAsia" w:ascii="黑体" w:hAnsi="宋体" w:eastAsia="黑体" w:cs="黑体"/>
      <w:color w:val="000000"/>
      <w:sz w:val="24"/>
      <w:szCs w:val="24"/>
      <w:u w:val="none"/>
    </w:rPr>
  </w:style>
  <w:style w:type="character" w:customStyle="1" w:styleId="38">
    <w:name w:val="font81"/>
    <w:basedOn w:val="26"/>
    <w:autoRedefine/>
    <w:qFormat/>
    <w:uiPriority w:val="0"/>
    <w:rPr>
      <w:rFonts w:hint="eastAsia" w:ascii="黑体" w:hAnsi="宋体" w:eastAsia="黑体" w:cs="黑体"/>
      <w:color w:val="000000"/>
      <w:sz w:val="24"/>
      <w:szCs w:val="24"/>
      <w:u w:val="none"/>
    </w:rPr>
  </w:style>
  <w:style w:type="character" w:customStyle="1" w:styleId="39">
    <w:name w:val="font51"/>
    <w:basedOn w:val="26"/>
    <w:qFormat/>
    <w:uiPriority w:val="0"/>
    <w:rPr>
      <w:rFonts w:hint="eastAsia" w:ascii="宋体" w:hAnsi="宋体" w:eastAsia="宋体" w:cs="宋体"/>
      <w:color w:val="000000"/>
      <w:sz w:val="28"/>
      <w:szCs w:val="28"/>
      <w:u w:val="none"/>
    </w:rPr>
  </w:style>
  <w:style w:type="character" w:customStyle="1" w:styleId="40">
    <w:name w:val="font141"/>
    <w:basedOn w:val="26"/>
    <w:qFormat/>
    <w:uiPriority w:val="0"/>
    <w:rPr>
      <w:rFonts w:hint="eastAsia" w:ascii="宋体" w:hAnsi="宋体" w:eastAsia="宋体" w:cs="宋体"/>
      <w:color w:val="000000"/>
      <w:sz w:val="28"/>
      <w:szCs w:val="28"/>
      <w:u w:val="single"/>
    </w:rPr>
  </w:style>
  <w:style w:type="character" w:customStyle="1" w:styleId="41">
    <w:name w:val="font131"/>
    <w:basedOn w:val="26"/>
    <w:qFormat/>
    <w:uiPriority w:val="0"/>
    <w:rPr>
      <w:rFonts w:hint="eastAsia" w:ascii="黑体" w:hAnsi="宋体" w:eastAsia="黑体" w:cs="黑体"/>
      <w:color w:val="000000"/>
      <w:sz w:val="24"/>
      <w:szCs w:val="24"/>
      <w:u w:val="none"/>
    </w:rPr>
  </w:style>
  <w:style w:type="character" w:customStyle="1" w:styleId="42">
    <w:name w:val="font71"/>
    <w:basedOn w:val="26"/>
    <w:autoRedefine/>
    <w:qFormat/>
    <w:uiPriority w:val="0"/>
    <w:rPr>
      <w:rFonts w:hint="eastAsia" w:ascii="黑体" w:hAnsi="宋体" w:eastAsia="黑体" w:cs="黑体"/>
      <w:color w:val="FF0000"/>
      <w:sz w:val="24"/>
      <w:szCs w:val="24"/>
      <w:u w:val="none"/>
    </w:rPr>
  </w:style>
  <w:style w:type="paragraph" w:customStyle="1" w:styleId="43">
    <w:name w:val="列表段落1"/>
    <w:basedOn w:val="1"/>
    <w:autoRedefine/>
    <w:qFormat/>
    <w:uiPriority w:val="0"/>
    <w:pPr>
      <w:widowControl/>
      <w:adjustRightInd w:val="0"/>
      <w:snapToGrid w:val="0"/>
      <w:spacing w:after="200"/>
      <w:ind w:firstLine="420"/>
      <w:jc w:val="left"/>
    </w:pPr>
    <w:rPr>
      <w:rFonts w:ascii="Tahoma" w:hAnsi="Tahoma" w:eastAsia="微软雅黑"/>
      <w:kern w:val="0"/>
      <w:sz w:val="22"/>
      <w:szCs w:val="22"/>
    </w:rPr>
  </w:style>
  <w:style w:type="character" w:customStyle="1" w:styleId="44">
    <w:name w:val="font14"/>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5">
    <w:name w:val="font151"/>
    <w:basedOn w:val="26"/>
    <w:qFormat/>
    <w:uiPriority w:val="0"/>
    <w:rPr>
      <w:rFonts w:hint="eastAsia" w:ascii="宋体" w:hAnsi="宋体" w:eastAsia="宋体" w:cs="宋体"/>
      <w:color w:val="000000"/>
      <w:sz w:val="22"/>
      <w:szCs w:val="22"/>
      <w:u w:val="single"/>
    </w:rPr>
  </w:style>
  <w:style w:type="character" w:customStyle="1" w:styleId="46">
    <w:name w:val="font31"/>
    <w:basedOn w:val="26"/>
    <w:qFormat/>
    <w:uiPriority w:val="0"/>
    <w:rPr>
      <w:rFonts w:hint="eastAsia" w:ascii="宋体" w:hAnsi="宋体" w:eastAsia="宋体" w:cs="宋体"/>
      <w:color w:val="FF0000"/>
      <w:sz w:val="22"/>
      <w:szCs w:val="22"/>
      <w:u w:val="none"/>
    </w:rPr>
  </w:style>
  <w:style w:type="character" w:customStyle="1" w:styleId="47">
    <w:name w:val="font13"/>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8">
    <w:name w:val="font122"/>
    <w:basedOn w:val="26"/>
    <w:qFormat/>
    <w:uiPriority w:val="0"/>
    <w:rPr>
      <w:rFonts w:hint="eastAsia" w:ascii="宋体" w:hAnsi="宋体" w:eastAsia="宋体" w:cs="宋体"/>
      <w:color w:val="000000"/>
      <w:sz w:val="22"/>
      <w:szCs w:val="22"/>
      <w:u w:val="single"/>
    </w:rPr>
  </w:style>
  <w:style w:type="character" w:customStyle="1" w:styleId="49">
    <w:name w:val="font01"/>
    <w:basedOn w:val="26"/>
    <w:qFormat/>
    <w:uiPriority w:val="0"/>
    <w:rPr>
      <w:rFonts w:hint="eastAsia" w:ascii="宋体" w:hAnsi="宋体" w:eastAsia="宋体" w:cs="宋体"/>
      <w:color w:val="000000"/>
      <w:sz w:val="22"/>
      <w:szCs w:val="22"/>
      <w:u w:val="none"/>
    </w:rPr>
  </w:style>
  <w:style w:type="character" w:customStyle="1" w:styleId="50">
    <w:name w:val="font132"/>
    <w:basedOn w:val="26"/>
    <w:qFormat/>
    <w:uiPriority w:val="0"/>
    <w:rPr>
      <w:rFonts w:hint="eastAsia" w:ascii="黑体" w:hAnsi="宋体" w:eastAsia="黑体" w:cs="黑体"/>
      <w:b/>
      <w:bCs/>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799</Words>
  <Characters>810</Characters>
  <Lines>0</Lines>
  <Paragraphs>0</Paragraphs>
  <TotalTime>1</TotalTime>
  <ScaleCrop>false</ScaleCrop>
  <LinksUpToDate>false</LinksUpToDate>
  <CharactersWithSpaces>1166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2023-07-18T09:00:00Z</dcterms:created>
  <dc:creator>一夕</dc:creator>
  <cp:lastModifiedBy>诸葛胜祥</cp:lastModifiedBy>
  <cp:lastPrinted>2023-11-07T01:59:00Z</cp:lastPrinted>
  <dcterms:modified xsi:type="dcterms:W3CDTF">2025-08-20T09:38:37Z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3604AE43C431442E8B65E75CE86E8C27_13</vt:lpwstr>
  </property>
  <property fmtid="{D5CDD505-2E9C-101B-9397-08002B2CF9AE}" pid="4" name="KSOTemplateDocerSaveRecord">
    <vt:lpwstr>eyJoZGlkIjoiMTdmMDNkNWQ0ZWMxNjY0YzI3ODdkN2UzOWY5OGRlNzEiLCJ1c2VySWQiOiI2OTk3Mjg4NzkifQ==</vt:lpwstr>
  </property>
</Properties>
</file>