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eastAsia="宋体" w:cs="宋体"/>
          <w:b/>
          <w:i w:val="0"/>
          <w:iCs w:val="0"/>
          <w:color w:val="000000"/>
          <w:kern w:val="0"/>
          <w:sz w:val="48"/>
          <w:szCs w:val="48"/>
          <w:u w:val="none"/>
          <w:lang w:val="en-US" w:eastAsia="zh-CN" w:bidi="ar"/>
        </w:rPr>
        <w:t>门禁对讲设备采购询价文件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91E3741">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4C8DC2E3">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03E1B57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04905235">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1357"/>
        <w:gridCol w:w="4855"/>
        <w:gridCol w:w="1225"/>
        <w:gridCol w:w="1263"/>
        <w:gridCol w:w="1813"/>
        <w:gridCol w:w="874"/>
        <w:gridCol w:w="922"/>
        <w:gridCol w:w="1147"/>
      </w:tblGrid>
      <w:tr w14:paraId="6106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0E30D8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71DF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BF9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8E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63B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4756" w:type="dxa"/>
            <w:gridSpan w:val="4"/>
            <w:tcBorders>
              <w:top w:val="single" w:color="000000" w:sz="4" w:space="0"/>
              <w:left w:val="nil"/>
              <w:bottom w:val="single" w:color="000000" w:sz="4" w:space="0"/>
              <w:right w:val="single" w:color="000000" w:sz="4" w:space="0"/>
            </w:tcBorders>
            <w:shd w:val="clear" w:color="auto" w:fill="auto"/>
            <w:noWrap/>
            <w:vAlign w:val="center"/>
          </w:tcPr>
          <w:p w14:paraId="033430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583F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2D9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37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669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4756" w:type="dxa"/>
            <w:gridSpan w:val="4"/>
            <w:tcBorders>
              <w:top w:val="single" w:color="000000" w:sz="4" w:space="0"/>
              <w:left w:val="nil"/>
              <w:bottom w:val="single" w:color="000000" w:sz="4" w:space="0"/>
              <w:right w:val="single" w:color="000000" w:sz="4" w:space="0"/>
            </w:tcBorders>
            <w:shd w:val="clear" w:color="auto" w:fill="auto"/>
            <w:noWrap/>
            <w:vAlign w:val="center"/>
          </w:tcPr>
          <w:p w14:paraId="72A300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901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1FE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24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4EF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756" w:type="dxa"/>
            <w:gridSpan w:val="4"/>
            <w:tcBorders>
              <w:top w:val="single" w:color="000000" w:sz="4" w:space="0"/>
              <w:left w:val="nil"/>
              <w:bottom w:val="single" w:color="000000" w:sz="4" w:space="0"/>
              <w:right w:val="single" w:color="000000" w:sz="4" w:space="0"/>
            </w:tcBorders>
            <w:shd w:val="clear" w:color="auto" w:fill="auto"/>
            <w:noWrap/>
            <w:vAlign w:val="center"/>
          </w:tcPr>
          <w:p w14:paraId="4910E6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05DA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ECE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7B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834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756" w:type="dxa"/>
            <w:gridSpan w:val="4"/>
            <w:tcBorders>
              <w:top w:val="single" w:color="000000" w:sz="4" w:space="0"/>
              <w:left w:val="nil"/>
              <w:bottom w:val="single" w:color="000000" w:sz="4" w:space="0"/>
              <w:right w:val="single" w:color="000000" w:sz="4" w:space="0"/>
            </w:tcBorders>
            <w:shd w:val="clear" w:color="auto" w:fill="auto"/>
            <w:noWrap/>
            <w:vAlign w:val="center"/>
          </w:tcPr>
          <w:p w14:paraId="1E4214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A34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77E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AD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1CD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4756" w:type="dxa"/>
            <w:gridSpan w:val="4"/>
            <w:tcBorders>
              <w:top w:val="single" w:color="000000" w:sz="4" w:space="0"/>
              <w:left w:val="nil"/>
              <w:bottom w:val="single" w:color="000000" w:sz="4" w:space="0"/>
              <w:right w:val="single" w:color="000000" w:sz="4" w:space="0"/>
            </w:tcBorders>
            <w:shd w:val="clear" w:color="auto" w:fill="auto"/>
            <w:noWrap/>
            <w:vAlign w:val="center"/>
          </w:tcPr>
          <w:p w14:paraId="587BCE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A00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DF9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C6E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73E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487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211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D83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品牌型号</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247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D67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1EE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8F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47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4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9D9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16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14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071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56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89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24D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BFC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5B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F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人脸管控主机</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50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1、不低于7英寸电容触摸屏屏；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2、1/2.8" 2MP CMOS高清双目摄像头；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3、支持防反潜，支持防拆报警，支持门超时报警，支持非法闯入报警；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4、支持实时监控，支持多重认证；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5、人脸识别准确率：99.90%，人脸识别速度：0.2s，人脸用户容量：20000，存储记录数量：300000条；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接口：RS-485接口：1个，RS-232接口：1个，韦根接口：1路输入/输出，USB接口：1个USB2.0接口，网络接口：1个10Mbps/100Mbps自适应以太网口，报警输入：2路（开关量），报警输出：1路（继电器），报警联动：支持，开门按钮：1路，门状态检测：1路，门锁控制：1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7、提供三年质保；</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BC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13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19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大华</w:t>
            </w:r>
            <w:bookmarkStart w:id="0" w:name="_GoBack"/>
            <w:bookmarkEnd w:id="0"/>
          </w:p>
          <w:p w14:paraId="3391F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，DH-ASI7213KL</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7E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A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47" w:type="dxa"/>
            <w:tcBorders>
              <w:top w:val="nil"/>
              <w:left w:val="single" w:color="000000" w:sz="4" w:space="0"/>
              <w:bottom w:val="single" w:color="000000" w:sz="4" w:space="0"/>
              <w:right w:val="single" w:color="000000" w:sz="4" w:space="0"/>
            </w:tcBorders>
            <w:shd w:val="clear" w:color="auto" w:fill="auto"/>
            <w:vAlign w:val="center"/>
          </w:tcPr>
          <w:p w14:paraId="555E5B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0AE8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3F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2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语音对讲分机</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E7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1、不低于7英寸液晶屏，屏幕显示分辨率达到1024x600，电容触摸屏；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2、支持预览开锁、对讲开锁；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3、支持32路720P IPC接入；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4、支持报警接入功能（8路有线防区）；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5、提供三年质保；</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9C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19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51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大华</w:t>
            </w:r>
            <w:r>
              <w:rPr>
                <w:rFonts w:hint="eastAsia" w:ascii="宋体" w:hAnsi="宋体" w:cs="宋体"/>
                <w:i w:val="0"/>
                <w:iCs w:val="0"/>
                <w:color w:val="000000"/>
                <w:kern w:val="0"/>
                <w:sz w:val="24"/>
                <w:szCs w:val="24"/>
                <w:u w:val="none"/>
                <w:lang w:val="en-US" w:eastAsia="zh-CN" w:bidi="ar"/>
              </w:rPr>
              <w:t>，</w:t>
            </w:r>
          </w:p>
          <w:p w14:paraId="71E70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DH-VTH2521S</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14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0F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47" w:type="dxa"/>
            <w:tcBorders>
              <w:top w:val="nil"/>
              <w:left w:val="single" w:color="000000" w:sz="4" w:space="0"/>
              <w:bottom w:val="single" w:color="000000" w:sz="4" w:space="0"/>
              <w:right w:val="single" w:color="000000" w:sz="4" w:space="0"/>
            </w:tcBorders>
            <w:shd w:val="clear" w:color="auto" w:fill="auto"/>
            <w:vAlign w:val="center"/>
          </w:tcPr>
          <w:p w14:paraId="615496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553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34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09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自助采集终端</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C2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1、主处理器：高性能嵌入式处理器；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2、显示屏：≥4.3英寸液晶屏；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3、屏幕类型：电容触摸屏；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4、显示屏分辨率：≥480×272；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5、摄像头：不低于1/2.8" 2MP CMOS 高清/数字宽动态/彩色/红外双摄像头；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6、光照补偿：自动白光补光;自动红外补光；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7、语音提示：支持；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8、支持人证比对；读卡类型：IC卡；CPU卡；身份证；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9、支持数据断网运行，设备断网后，身份证、人脸、IC卡等可进行脱机比对验证，并且用户数据、存储记录、自助采集可以正常保存和使用，设备运行不受影响；网络恢复后，管理平台和设备支持同步记录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10、刷卡响应时间：&lt;1s；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11、读卡距离：0cm～5cm；人脸识别距离：0.3m～0.7m；人脸识别准确率：99.8%；人脸识别速度：0.2s；人证比对时间：1.5s；身份证容量：2000个；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12、居民身份证阅读模块：符合GA450-2013标准；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13、支持身份证和人脸比对通过后，自助进行信息采集；支持采集2张人脸照片、3枚指纹、5张卡片；支持提取采集数据；信息采集完成后，自动存储在本机，网络平台可通过网络提取采集数据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14、支持身份证和人脸比对，现场抓拍人脸，与用户的身份证照片进行实时比对，实现人证核验，再进行登记；人证比对时间≤1.5s；支持人脸的1：1比对，人脸比对时间≤0.2s。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存储记录数量：200000条；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15、USB接口：1个USB2.0接口；网络接口：1个10Mbps/100Mbps以太网口；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16、提供三年质保</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85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03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4B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大华，</w:t>
            </w:r>
          </w:p>
          <w:p w14:paraId="6383CC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DH-ASHZ200A-W</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8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9B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47" w:type="dxa"/>
            <w:tcBorders>
              <w:top w:val="nil"/>
              <w:left w:val="single" w:color="000000" w:sz="4" w:space="0"/>
              <w:bottom w:val="single" w:color="000000" w:sz="4" w:space="0"/>
              <w:right w:val="single" w:color="000000" w:sz="4" w:space="0"/>
            </w:tcBorders>
            <w:shd w:val="clear" w:color="auto" w:fill="auto"/>
            <w:vAlign w:val="center"/>
          </w:tcPr>
          <w:p w14:paraId="5F9F82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6207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66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D7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门禁一体机（人脸+刷卡）</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70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1、设备应采用不小于7英寸LCDLCD触摸屏，屏幕分辨率不小于1024×600；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2、设备应采用双目摄像头，像素不小于200W；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3、支持通过红外补光灯和摄像头实现人脸识别与比对；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4、支持不低于5万个用户、5万张人脸、5万个密码、10万张IC卡、30万条记录；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5、支持语音识别，开启后可通过语音唤醒并语音控制设备；支持视频和图片广告播放；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6、支持人脸、CPU卡（需配套PSAM卡）、CPU卡序列号、密码、二维码等多种识别方式，并支持多种组合识别鉴权方式；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7、支持未佩戴口罩检测模式，实现未佩戴口罩异常事件告警；支持活体检测功能，支持手机照片、打印照片和视频防假；支持安全帽检测；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8、电源输出功能检查:设备应支持12V/1A电源输出功能,可以给锁具、读卡器等外设供电；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快捷呼叫功能,在快捷呼叫模式下,可点击对应的快捷键一键呼叫至对应的室内机,无需手动拨号;可自定义的快捷键数量不少于12个；快捷键的名称可自定义,可配置是否展示对应名称;快捷键的位置布局可通过拖曳的方式进行快捷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10、人脸识别(人脸特征比对)速度应≤50ms；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11、支持3.5mm音频接口，可扩展外接音箱；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12、支持下模块扩展功能（指纹、二维码、人证、人证+二维码、指纹+二维码）；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13、支持呼吸灯及三色状态提示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14、内置通过国家密码局检测认证的安全芯片密码模块；支持SM1、SM2、SM3、SM4等国密算法。</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AA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68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27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大华，</w:t>
            </w:r>
          </w:p>
          <w:p w14:paraId="1EEBDC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DH-ASI7213H-W</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DE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D7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47" w:type="dxa"/>
            <w:tcBorders>
              <w:top w:val="nil"/>
              <w:left w:val="single" w:color="000000" w:sz="4" w:space="0"/>
              <w:bottom w:val="single" w:color="000000" w:sz="4" w:space="0"/>
              <w:right w:val="single" w:color="000000" w:sz="4" w:space="0"/>
            </w:tcBorders>
            <w:shd w:val="clear" w:color="auto" w:fill="auto"/>
            <w:vAlign w:val="center"/>
          </w:tcPr>
          <w:p w14:paraId="704048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26A7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8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5A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门禁电源</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4D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1、12V 1.5‐2A输出；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2、控制信号输入，支持单路继电器输出，壁挂孔位安装</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65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41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83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大华，配套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F4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1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1147" w:type="dxa"/>
            <w:tcBorders>
              <w:top w:val="nil"/>
              <w:left w:val="single" w:color="000000" w:sz="4" w:space="0"/>
              <w:bottom w:val="single" w:color="000000" w:sz="4" w:space="0"/>
              <w:right w:val="single" w:color="000000" w:sz="4" w:space="0"/>
            </w:tcBorders>
            <w:shd w:val="clear" w:color="auto" w:fill="auto"/>
            <w:vAlign w:val="center"/>
          </w:tcPr>
          <w:p w14:paraId="7AD66D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1675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52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0"/>
                <w:szCs w:val="20"/>
                <w:u w:val="none"/>
              </w:rPr>
            </w:pPr>
          </w:p>
        </w:tc>
        <w:tc>
          <w:tcPr>
            <w:tcW w:w="134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174D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8" name="Text_Box_5"/>
                  <wp:cNvGraphicFramePr/>
                  <a:graphic xmlns:a="http://schemas.openxmlformats.org/drawingml/2006/main">
                    <a:graphicData uri="http://schemas.openxmlformats.org/drawingml/2006/picture">
                      <pic:pic xmlns:pic="http://schemas.openxmlformats.org/drawingml/2006/picture">
                        <pic:nvPicPr>
                          <pic:cNvPr id="8" name="Text_Box_5"/>
                          <pic:cNvPicPr/>
                        </pic:nvPicPr>
                        <pic:blipFill>
                          <a:blip r:embed="rId6"/>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9" name="Text_Box_9"/>
                  <wp:cNvGraphicFramePr/>
                  <a:graphic xmlns:a="http://schemas.openxmlformats.org/drawingml/2006/main">
                    <a:graphicData uri="http://schemas.openxmlformats.org/drawingml/2006/picture">
                      <pic:pic xmlns:pic="http://schemas.openxmlformats.org/drawingml/2006/picture">
                        <pic:nvPicPr>
                          <pic:cNvPr id="9" name="Text_Box_9"/>
                          <pic:cNvPicPr/>
                        </pic:nvPicPr>
                        <pic:blipFill>
                          <a:blip r:embed="rId7"/>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6" name="Text_Box_5_SpCnt_1"/>
                  <wp:cNvGraphicFramePr/>
                  <a:graphic xmlns:a="http://schemas.openxmlformats.org/drawingml/2006/main">
                    <a:graphicData uri="http://schemas.openxmlformats.org/drawingml/2006/picture">
                      <pic:pic xmlns:pic="http://schemas.openxmlformats.org/drawingml/2006/picture">
                        <pic:nvPicPr>
                          <pic:cNvPr id="6" name="Text_Box_5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1" name="Text_Box_9_SpCnt_1"/>
                  <wp:cNvGraphicFramePr/>
                  <a:graphic xmlns:a="http://schemas.openxmlformats.org/drawingml/2006/main">
                    <a:graphicData uri="http://schemas.openxmlformats.org/drawingml/2006/picture">
                      <pic:pic xmlns:pic="http://schemas.openxmlformats.org/drawingml/2006/picture">
                        <pic:nvPicPr>
                          <pic:cNvPr id="11" name="Text_Box_9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7" name="Text_Box_12"/>
                  <wp:cNvGraphicFramePr/>
                  <a:graphic xmlns:a="http://schemas.openxmlformats.org/drawingml/2006/main">
                    <a:graphicData uri="http://schemas.openxmlformats.org/drawingml/2006/picture">
                      <pic:pic xmlns:pic="http://schemas.openxmlformats.org/drawingml/2006/picture">
                        <pic:nvPicPr>
                          <pic:cNvPr id="7" name="Text_Box_1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2" name="Text_Box_10"/>
                  <wp:cNvGraphicFramePr/>
                  <a:graphic xmlns:a="http://schemas.openxmlformats.org/drawingml/2006/main">
                    <a:graphicData uri="http://schemas.openxmlformats.org/drawingml/2006/picture">
                      <pic:pic xmlns:pic="http://schemas.openxmlformats.org/drawingml/2006/picture">
                        <pic:nvPicPr>
                          <pic:cNvPr id="12" name="Text_Box_10"/>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3" name="Text_Box_9_SpCnt_2"/>
                  <wp:cNvGraphicFramePr/>
                  <a:graphic xmlns:a="http://schemas.openxmlformats.org/drawingml/2006/main">
                    <a:graphicData uri="http://schemas.openxmlformats.org/drawingml/2006/picture">
                      <pic:pic xmlns:pic="http://schemas.openxmlformats.org/drawingml/2006/picture">
                        <pic:nvPicPr>
                          <pic:cNvPr id="13" name="Text_Box_9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4" name="Text_Box_7"/>
                  <wp:cNvGraphicFramePr/>
                  <a:graphic xmlns:a="http://schemas.openxmlformats.org/drawingml/2006/main">
                    <a:graphicData uri="http://schemas.openxmlformats.org/drawingml/2006/picture">
                      <pic:pic xmlns:pic="http://schemas.openxmlformats.org/drawingml/2006/picture">
                        <pic:nvPicPr>
                          <pic:cNvPr id="14" name="Text_Box_7"/>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5" name="Text_Box_5_SpCnt_2"/>
                  <wp:cNvGraphicFramePr/>
                  <a:graphic xmlns:a="http://schemas.openxmlformats.org/drawingml/2006/main">
                    <a:graphicData uri="http://schemas.openxmlformats.org/drawingml/2006/picture">
                      <pic:pic xmlns:pic="http://schemas.openxmlformats.org/drawingml/2006/picture">
                        <pic:nvPicPr>
                          <pic:cNvPr id="5" name="Text_Box_5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0" name="Text_Box_14"/>
                  <wp:cNvGraphicFramePr/>
                  <a:graphic xmlns:a="http://schemas.openxmlformats.org/drawingml/2006/main">
                    <a:graphicData uri="http://schemas.openxmlformats.org/drawingml/2006/picture">
                      <pic:pic xmlns:pic="http://schemas.openxmlformats.org/drawingml/2006/picture">
                        <pic:nvPicPr>
                          <pic:cNvPr id="10" name="Text_Box_14"/>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7" name="Text_Box_12_SpCnt_1"/>
                  <wp:cNvGraphicFramePr/>
                  <a:graphic xmlns:a="http://schemas.openxmlformats.org/drawingml/2006/main">
                    <a:graphicData uri="http://schemas.openxmlformats.org/drawingml/2006/picture">
                      <pic:pic xmlns:pic="http://schemas.openxmlformats.org/drawingml/2006/picture">
                        <pic:nvPicPr>
                          <pic:cNvPr id="17" name="Text_Box_12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9" name="Text_Box_7_SpCnt_1"/>
                  <wp:cNvGraphicFramePr/>
                  <a:graphic xmlns:a="http://schemas.openxmlformats.org/drawingml/2006/main">
                    <a:graphicData uri="http://schemas.openxmlformats.org/drawingml/2006/picture">
                      <pic:pic xmlns:pic="http://schemas.openxmlformats.org/drawingml/2006/picture">
                        <pic:nvPicPr>
                          <pic:cNvPr id="19" name="Text_Box_7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5" name="Text_Box_10_SpCnt_1"/>
                  <wp:cNvGraphicFramePr/>
                  <a:graphic xmlns:a="http://schemas.openxmlformats.org/drawingml/2006/main">
                    <a:graphicData uri="http://schemas.openxmlformats.org/drawingml/2006/picture">
                      <pic:pic xmlns:pic="http://schemas.openxmlformats.org/drawingml/2006/picture">
                        <pic:nvPicPr>
                          <pic:cNvPr id="15" name="Text_Box_10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6" name="Text_Box_5_SpCnt_3"/>
                  <wp:cNvGraphicFramePr/>
                  <a:graphic xmlns:a="http://schemas.openxmlformats.org/drawingml/2006/main">
                    <a:graphicData uri="http://schemas.openxmlformats.org/drawingml/2006/picture">
                      <pic:pic xmlns:pic="http://schemas.openxmlformats.org/drawingml/2006/picture">
                        <pic:nvPicPr>
                          <pic:cNvPr id="16" name="Text_Box_5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8" name="Text_Box_14_SpCnt_1"/>
                  <wp:cNvGraphicFramePr/>
                  <a:graphic xmlns:a="http://schemas.openxmlformats.org/drawingml/2006/main">
                    <a:graphicData uri="http://schemas.openxmlformats.org/drawingml/2006/picture">
                      <pic:pic xmlns:pic="http://schemas.openxmlformats.org/drawingml/2006/picture">
                        <pic:nvPicPr>
                          <pic:cNvPr id="18" name="Text_Box_14_SpCnt_1"/>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0" name="Text_Box_12_SpCnt_2"/>
                  <wp:cNvGraphicFramePr/>
                  <a:graphic xmlns:a="http://schemas.openxmlformats.org/drawingml/2006/main">
                    <a:graphicData uri="http://schemas.openxmlformats.org/drawingml/2006/picture">
                      <pic:pic xmlns:pic="http://schemas.openxmlformats.org/drawingml/2006/picture">
                        <pic:nvPicPr>
                          <pic:cNvPr id="20" name="Text_Box_12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1" name="Text_Box_10_SpCnt_2"/>
                  <wp:cNvGraphicFramePr/>
                  <a:graphic xmlns:a="http://schemas.openxmlformats.org/drawingml/2006/main">
                    <a:graphicData uri="http://schemas.openxmlformats.org/drawingml/2006/picture">
                      <pic:pic xmlns:pic="http://schemas.openxmlformats.org/drawingml/2006/picture">
                        <pic:nvPicPr>
                          <pic:cNvPr id="21" name="Text_Box_10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1" name="Text_Box_9_SpCnt_3"/>
                  <wp:cNvGraphicFramePr/>
                  <a:graphic xmlns:a="http://schemas.openxmlformats.org/drawingml/2006/main">
                    <a:graphicData uri="http://schemas.openxmlformats.org/drawingml/2006/picture">
                      <pic:pic xmlns:pic="http://schemas.openxmlformats.org/drawingml/2006/picture">
                        <pic:nvPicPr>
                          <pic:cNvPr id="1" name="Text_Box_9_SpCnt_3"/>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2" name="Text_Box_14_SpCnt_2"/>
                  <wp:cNvGraphicFramePr/>
                  <a:graphic xmlns:a="http://schemas.openxmlformats.org/drawingml/2006/main">
                    <a:graphicData uri="http://schemas.openxmlformats.org/drawingml/2006/picture">
                      <pic:pic xmlns:pic="http://schemas.openxmlformats.org/drawingml/2006/picture">
                        <pic:nvPicPr>
                          <pic:cNvPr id="22" name="Text_Box_14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 name="Text_Box_7_SpCnt_2"/>
                  <wp:cNvGraphicFramePr/>
                  <a:graphic xmlns:a="http://schemas.openxmlformats.org/drawingml/2006/main">
                    <a:graphicData uri="http://schemas.openxmlformats.org/drawingml/2006/picture">
                      <pic:pic xmlns:pic="http://schemas.openxmlformats.org/drawingml/2006/picture">
                        <pic:nvPicPr>
                          <pic:cNvPr id="2" name="Text_Box_7_SpCnt_2"/>
                          <pic:cNvPicPr/>
                        </pic:nvPicPr>
                        <pic:blipFill>
                          <a:blip r:embed="rId8"/>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4" name="Text_Box_12_SpCnt_3"/>
                  <wp:cNvGraphicFramePr/>
                  <a:graphic xmlns:a="http://schemas.openxmlformats.org/drawingml/2006/main">
                    <a:graphicData uri="http://schemas.openxmlformats.org/drawingml/2006/picture">
                      <pic:pic xmlns:pic="http://schemas.openxmlformats.org/drawingml/2006/picture">
                        <pic:nvPicPr>
                          <pic:cNvPr id="4" name="Text_Box_12_SpCnt_3"/>
                          <pic:cNvPicPr/>
                        </pic:nvPicPr>
                        <pic:blipFill>
                          <a:blip r:embed="rId9"/>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3" name="Text_Box_7_SpCnt_3"/>
                  <wp:cNvGraphicFramePr/>
                  <a:graphic xmlns:a="http://schemas.openxmlformats.org/drawingml/2006/main">
                    <a:graphicData uri="http://schemas.openxmlformats.org/drawingml/2006/picture">
                      <pic:pic xmlns:pic="http://schemas.openxmlformats.org/drawingml/2006/picture">
                        <pic:nvPicPr>
                          <pic:cNvPr id="3" name="Text_Box_7_SpCnt_3"/>
                          <pic:cNvPicPr/>
                        </pic:nvPicPr>
                        <pic:blipFill>
                          <a:blip r:embed="rId10"/>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6038850</wp:posOffset>
                  </wp:positionH>
                  <wp:positionV relativeFrom="paragraph">
                    <wp:posOffset>0</wp:posOffset>
                  </wp:positionV>
                  <wp:extent cx="152400" cy="161925"/>
                  <wp:effectExtent l="0" t="0" r="0" b="0"/>
                  <wp:wrapNone/>
                  <wp:docPr id="23" name="Text_Box_10_SpCnt_3"/>
                  <wp:cNvGraphicFramePr/>
                  <a:graphic xmlns:a="http://schemas.openxmlformats.org/drawingml/2006/main">
                    <a:graphicData uri="http://schemas.openxmlformats.org/drawingml/2006/picture">
                      <pic:pic xmlns:pic="http://schemas.openxmlformats.org/drawingml/2006/picture">
                        <pic:nvPicPr>
                          <pic:cNvPr id="23" name="Text_Box_10_SpCnt_3"/>
                          <pic:cNvPicPr/>
                        </pic:nvPicPr>
                        <pic:blipFill>
                          <a:blip r:embed="rId11"/>
                          <a:stretch>
                            <a:fillRect/>
                          </a:stretch>
                        </pic:blipFill>
                        <pic:spPr>
                          <a:xfrm>
                            <a:off x="0" y="0"/>
                            <a:ext cx="152400" cy="1619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48D3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6F21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注：以上报价含可抵扣的增值税专用发票、运费、卸货以及调试相关服务费用。</w:t>
            </w:r>
          </w:p>
        </w:tc>
      </w:tr>
      <w:tr w14:paraId="4271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200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是否接受保证金（控制价的2%）           </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C4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0000"/>
                <w:sz w:val="24"/>
                <w:szCs w:val="24"/>
                <w:u w:val="none"/>
              </w:rPr>
            </w:pP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273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是否接受履约保证金（成交金额的10%）</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F415B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062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39D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质保期：             </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A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3年</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CB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税点：</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249B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14:paraId="3CF3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CDF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供货期：             </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EC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10天</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191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付款方式</w:t>
            </w:r>
          </w:p>
        </w:tc>
        <w:tc>
          <w:tcPr>
            <w:tcW w:w="4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6E6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合同签订后个7日内支付30%预付款，货到验收合格后3个月内付清其余的货款</w:t>
            </w:r>
          </w:p>
        </w:tc>
      </w:tr>
    </w:tbl>
    <w:p w14:paraId="3FFE4FC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4F15CAC"/>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5C3F6A"/>
    <w:rsid w:val="11F315DF"/>
    <w:rsid w:val="133B07D3"/>
    <w:rsid w:val="138B678C"/>
    <w:rsid w:val="13A43BC7"/>
    <w:rsid w:val="144B0B25"/>
    <w:rsid w:val="14F94AB5"/>
    <w:rsid w:val="1516314A"/>
    <w:rsid w:val="157C124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C64297"/>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606A33"/>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3C5781D"/>
    <w:rsid w:val="44EF43A5"/>
    <w:rsid w:val="468C2B4D"/>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5310</Words>
  <Characters>5639</Characters>
  <Lines>0</Lines>
  <Paragraphs>0</Paragraphs>
  <TotalTime>4</TotalTime>
  <ScaleCrop>false</ScaleCrop>
  <LinksUpToDate>false</LinksUpToDate>
  <CharactersWithSpaces>6327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烟锁池塘柳</cp:lastModifiedBy>
  <cp:lastPrinted>2023-11-07T01:59:00Z</cp:lastPrinted>
  <dcterms:modified xsi:type="dcterms:W3CDTF">2025-08-08T11:46:36Z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CBA5706DCAAB4520ABEC920B5857FF83_13</vt:lpwstr>
  </property>
  <property fmtid="{D5CDD505-2E9C-101B-9397-08002B2CF9AE}" pid="4" name="KSOTemplateDocerSaveRecord">
    <vt:lpwstr>eyJoZGlkIjoiYzlmMzVkOGQwNzkyMmE2YWFhOTNmNjMyMGU1YzhhM2UiLCJ1c2VySWQiOiI0NTY4NDQxNDMifQ==</vt:lpwstr>
  </property>
</Properties>
</file>