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eastAsia="宋体" w:cs="宋体"/>
          <w:b/>
          <w:i w:val="0"/>
          <w:iCs w:val="0"/>
          <w:color w:val="000000"/>
          <w:kern w:val="0"/>
          <w:sz w:val="48"/>
          <w:szCs w:val="48"/>
          <w:u w:val="none"/>
          <w:lang w:val="en-US" w:eastAsia="zh-CN" w:bidi="ar"/>
        </w:rPr>
        <w:t>智能化监控设备询价文件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18762703">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553F80D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2.4、原厂授权(原厂直接参与无需提供此项)</w:t>
      </w:r>
    </w:p>
    <w:p w14:paraId="086AD963">
      <w:pPr>
        <w:rPr>
          <w:rFonts w:hint="default"/>
          <w:lang w:val="en-US" w:eastAsia="zh-CN"/>
        </w:rPr>
        <w:sectPr>
          <w:pgSz w:w="11906" w:h="16838"/>
          <w:pgMar w:top="1440" w:right="1800" w:bottom="1440" w:left="1800" w:header="851" w:footer="992" w:gutter="0"/>
          <w:cols w:space="425" w:num="1"/>
          <w:docGrid w:type="lines" w:linePitch="312" w:charSpace="0"/>
        </w:sectPr>
      </w:pPr>
    </w:p>
    <w:tbl>
      <w:tblPr>
        <w:tblStyle w:val="24"/>
        <w:tblW w:w="14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5"/>
        <w:gridCol w:w="1320"/>
        <w:gridCol w:w="3443"/>
        <w:gridCol w:w="1059"/>
        <w:gridCol w:w="586"/>
        <w:gridCol w:w="577"/>
        <w:gridCol w:w="1143"/>
        <w:gridCol w:w="2336"/>
        <w:gridCol w:w="851"/>
        <w:gridCol w:w="952"/>
        <w:gridCol w:w="1108"/>
      </w:tblGrid>
      <w:tr w14:paraId="1F85B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220" w:type="dxa"/>
            <w:gridSpan w:val="11"/>
            <w:tcBorders>
              <w:top w:val="nil"/>
              <w:left w:val="nil"/>
              <w:bottom w:val="nil"/>
              <w:right w:val="nil"/>
            </w:tcBorders>
            <w:shd w:val="clear" w:color="auto" w:fill="auto"/>
            <w:vAlign w:val="center"/>
          </w:tcPr>
          <w:p w14:paraId="7D014D2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323A4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F289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BFA7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49C7F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5247" w:type="dxa"/>
            <w:gridSpan w:val="4"/>
            <w:tcBorders>
              <w:top w:val="single" w:color="000000" w:sz="4" w:space="0"/>
              <w:left w:val="nil"/>
              <w:bottom w:val="single" w:color="000000" w:sz="4" w:space="0"/>
              <w:right w:val="single" w:color="000000" w:sz="4" w:space="0"/>
            </w:tcBorders>
            <w:shd w:val="clear" w:color="auto" w:fill="auto"/>
            <w:noWrap/>
            <w:vAlign w:val="center"/>
          </w:tcPr>
          <w:p w14:paraId="077D95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1AED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C4AD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66FB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C754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5247" w:type="dxa"/>
            <w:gridSpan w:val="4"/>
            <w:tcBorders>
              <w:top w:val="single" w:color="000000" w:sz="4" w:space="0"/>
              <w:left w:val="nil"/>
              <w:bottom w:val="single" w:color="000000" w:sz="4" w:space="0"/>
              <w:right w:val="single" w:color="000000" w:sz="4" w:space="0"/>
            </w:tcBorders>
            <w:shd w:val="clear" w:color="auto" w:fill="auto"/>
            <w:noWrap/>
            <w:vAlign w:val="center"/>
          </w:tcPr>
          <w:p w14:paraId="5CBD957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AB0A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2E40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3CD1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3DA7C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5247" w:type="dxa"/>
            <w:gridSpan w:val="4"/>
            <w:tcBorders>
              <w:top w:val="single" w:color="000000" w:sz="4" w:space="0"/>
              <w:left w:val="nil"/>
              <w:bottom w:val="single" w:color="000000" w:sz="4" w:space="0"/>
              <w:right w:val="single" w:color="000000" w:sz="4" w:space="0"/>
            </w:tcBorders>
            <w:shd w:val="clear" w:color="auto" w:fill="auto"/>
            <w:noWrap/>
            <w:vAlign w:val="center"/>
          </w:tcPr>
          <w:p w14:paraId="1BE339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10DEB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F7BB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B48B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3DA7D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5247" w:type="dxa"/>
            <w:gridSpan w:val="4"/>
            <w:tcBorders>
              <w:top w:val="single" w:color="000000" w:sz="4" w:space="0"/>
              <w:left w:val="nil"/>
              <w:bottom w:val="single" w:color="000000" w:sz="4" w:space="0"/>
              <w:right w:val="single" w:color="000000" w:sz="4" w:space="0"/>
            </w:tcBorders>
            <w:shd w:val="clear" w:color="auto" w:fill="auto"/>
            <w:noWrap/>
            <w:vAlign w:val="center"/>
          </w:tcPr>
          <w:p w14:paraId="413A78C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31EEE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E629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7808E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3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DA2CE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5247" w:type="dxa"/>
            <w:gridSpan w:val="4"/>
            <w:tcBorders>
              <w:top w:val="single" w:color="000000" w:sz="4" w:space="0"/>
              <w:left w:val="nil"/>
              <w:bottom w:val="single" w:color="000000" w:sz="4" w:space="0"/>
              <w:right w:val="single" w:color="000000" w:sz="4" w:space="0"/>
            </w:tcBorders>
            <w:shd w:val="clear" w:color="auto" w:fill="auto"/>
            <w:noWrap/>
            <w:vAlign w:val="center"/>
          </w:tcPr>
          <w:p w14:paraId="37CFDBD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E138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3BBC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4D2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45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6C66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1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44F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A640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3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8B0D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品牌型号</w:t>
            </w:r>
          </w:p>
        </w:tc>
        <w:tc>
          <w:tcPr>
            <w:tcW w:w="1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6B3C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BA65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5FBDE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11A9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07F5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45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88C2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11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E361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95A5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3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8858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96F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AB6D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1BDE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07263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B81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B552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超低照度球机</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AD50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（1）传感器:≥1/1.8 英寸，支持双路视频融合，球机内置两个图像传感器，分别输出黑白及彩色图像，设备可对视频图像进行融合输出；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（2）★分辨率:≥2560*1440（提供公安部检测机构出具的检测报告扫描件加盖投标人电子签章，不提供作无效投标处理）；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（3）最低照度:彩色≤0.0002Lux；黑白≤0.0001Lux；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（4）红外照射距离≥250米；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（5）信噪比≥52dB；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（6）光学变倍≥35倍，数字变倍≥16倍数字变倍；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（7）支持智能红外、透雾、强光抑制、电子防抖、数字降噪、防红外过曝功能；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（8）支持宽动态范围达120dB，适合逆光环境监控；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（9）采用无光污染的混合补光技术或者红外补光技术；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（10）越界侦测，区域入侵侦测，进入/离开区域侦测等智能侦测功能；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（11）支持车辆检测（支持车牌识别，车型/车身颜色/车牌颜色识别）和混行检测，车牌捕获及检索、多场景巡航检测；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（12）支持同时抓拍30张人脸，支持对运动人脸进行检测、跟踪、抓拍、评分、筛选，输出最优的人脸抓图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（13）支持定时抓图与事件抓图功能；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（14）3D 定位；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（15）支持300个预置位，8条巡航扫描；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（16）视频压缩标准: H.265，H.264，MJPEG；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（17）安装方式:根据路口环境而定。安装方式：多种安装方式可选根据应用环境进行选择， 具体根据路口而定。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★满足GA/T 832-2014《道路交通安全违法行为图像取证技术规范》相关要求（提供公安部检测机构出具的检测报告扫描件加盖投标人电子签章，不提供作无效投标处理）。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150D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9DD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6F6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DH-SD-8A1440XA-HNT-E</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7801">
            <w:pPr>
              <w:keepNext w:val="0"/>
              <w:keepLines w:val="0"/>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1"/>
                <w:szCs w:val="21"/>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310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0FEE">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494CD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65C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0A0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全景球机</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198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1）内置GPU芯片，支持深度学习算法，有效提升检测准确率；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2）支持32倍光学变倍，16倍数字变倍；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3）★采用≥400万像素1/1.8英寸CMOS传感器（提供公安部检测机构出具的检测报告扫描件加盖投标人电子签章，不提供作无效投标处理）；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4）支持超低照度，彩色：0.005lux@F1.6；黑白：0.0005lux@F1.6；0Lux，红外灯开启；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5）当设备触发动检或报警时,视频录像帧率应自动调整至设定值,设定范围1~60帧/秒；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6）设备在多场景分别配置不同智能后,可进行多场景智能巡航,进行不同智能的分时复用；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7）设备具备遮挡跟踪功能,当设备跟踪的目标人员全身被遮挡时,目标人员在10s以内重新出现在监控画面中,设备可继续进行跟踪；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8）内置2路报警输入和1路报警输出，支持报警联动功能；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9）支持DC24V±25%宽电压输入；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10）支持国密算法SM1、SM2、SM3、SM4；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63EE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907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50E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DH-SDT-7C1432-4F-ZBZJ-AD3EV-0400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0326D">
            <w:pPr>
              <w:keepNext w:val="0"/>
              <w:keepLines w:val="0"/>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1"/>
                <w:szCs w:val="21"/>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8BE0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6A93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1F520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D93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AB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人像识别摄像机</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8E79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1)★靶面尺寸≥1/1.8英寸，内置GPU芯片（提供公安部检测机构出具的检测报告扫描件加盖投标人电子签章，不提供作无效投标处理）；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 ★分辨率≥2688×1520（提供公安部检测机构出具的检测报告扫描件加盖投标人电子签章，不提供作无效投标处理）；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3)镜头焦距优于或等于8mm-32mm；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4)支持智能资源切换：通用行为分析、人脸检测、人脸识别、视频结构化、人数统计、道路监控；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5)具有智能除雾功能，可自动去除前盖玻璃水状和雾状附着物；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6)在低照度环境下抓拍功能可自动开启， 在混合场景下， 可同时分别抓拍清晰的车牌、 车辆及人脸；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7)镜头前盖玻璃倾斜，可改变沿镜头光轴方向入射光束的反射光方向，降低鬼影对视频画面的影响；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8)内置不少于4颗补光灯，每颗补光灯均有红外灯和暖光灯组成；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9)环境照度不高于0.5lx，开启功能后，可自动调节画面中人脸、人体目标以及环境景物的亮度、 色彩饱和度、对比度、锐度；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10)支持视频结构化：支持机动车、非机动车、人脸、人体检测；支持跟踪；支持优选；支持抓拍；支持上报最优的人脸抓图 支持机动车和非机动车属性提取；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11)内置双MIC，扬声器，音频2进1出；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12)支持IP67防护等级。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5BC3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471C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7B3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DH-IPC-HFW8449K2-ZRL-IL4</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AB6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B0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A08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r>
      <w:tr w14:paraId="4C1B8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AC6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86B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双目卡口摄像机（含网络防雷、镜头、防护罩等）</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DFBF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1）内置双图像传感器；具有双摄像头图像拼接融合功能；支持通过web界面对双镜头进行融合标定和聚焦；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2）短焦镜头≥35mm、长焦镜头≥70mm；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3）★成像像素≥2800万（提供公安部检测机构出具的检测报告扫描件加盖投标人电子签章，不提供作无效投标处理）；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补光灯状态监测，支持LED爆闪次数、氙气爆闪次数、工作时长等状态进行监测和记录；可以分情景模式(情景模式包括白天、夜晚)分别设置氙气爆闪灯亮度、氙气延时时间、LED频闪亮度、LED爆闪脉宽，工作模式可以设置为强制白光、强制红外、自动三种工作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对距离不低于抓拍单元20～120米处车辆违法行为进行抓拍，抓拍类型包括违法变道、压线、加塞、违停等；支持距离抓拍单元100米处抓拍的车牌清晰可见，可识别车牌字符、车牌颜色、车身颜色、车标、车系、车辆类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6）具有虚实线单向违法变道抓拍功能，支持配置左实右虚、右实左虚；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7）具有加热除雾设置选项；内置陀螺仪，支持设备姿态异常检测并输出报警；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8）支持违法片段预录、录像并上传（录像时间不少于5秒），支持预录时间设置；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9）支持对违法行为抓拍多张图片并做合成处理，图片合成可以配置多种合成方式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10）支持车牌字符识别功能；白天准确率≥99.9%；晚上准确率≥99.9%；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11）支持禁行抓拍、闯导流线、逆行、违法变道、占用专用车道、黄牌车占道、压白线、压黄线、超速、欠速、违法停车功能，白天和晚上准确率均≥99%；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12）内置暖光LED补光灯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13）支持违法数据对接上传集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★满足《公共安全视频监控联网信息安全技术要求》（GB35114-2017）安全能力等级达到 A 级相关要求（提供承诺函加盖投标人电子签章，不提供作无效投标处理）。</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EA8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0D7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1BB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DH-CP2802-YG-TF37</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638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09D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8A3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r>
      <w:tr w14:paraId="20250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CD2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3E2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存储节点服务器</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9557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1）主处理器≥两颗10核，2.4GHz（国产化处理器）；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2）内存≥32GB DDR4 ECC内存；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3）硬盘个数≥1块512G企业级固态硬盘；硬盘插槽≥36个SATA硬盘或SAS硬盘（满配36块16T企业级硬盘）；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4）Raid:≥1 块 1GB 八通道高性能 RAID 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5）网络接口≥2个万兆光口（含光模块），2个千兆电口；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6）电源冗余：1+1冗余电源，满配散热风扇，含操作系统；功耗≤700W（含硬盘）；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7）供电方式：800W；100V~240V，50/60Hz，支持热插拔；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8）提供服务期内硬盘不返还服务。</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85A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D3B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87B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DH-CSS8136S-10GVRE</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E3CB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C8B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466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r>
      <w:tr w14:paraId="29F6E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283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7B2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万向节支架</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9604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8018</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CEEA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FA6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BB2A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8018支架</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FDBE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5C70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9CAC">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r>
      <w:tr w14:paraId="21E59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8BD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B7D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鸭嘴支架</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5A7C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大华原厂</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E0C0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C372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8D7DA">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B91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D7A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8087">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r>
      <w:tr w14:paraId="03AEC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027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6F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侧装支架</w:t>
            </w:r>
          </w:p>
        </w:tc>
        <w:tc>
          <w:tcPr>
            <w:tcW w:w="4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BAD1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大华原厂</w:t>
            </w:r>
          </w:p>
        </w:tc>
        <w:tc>
          <w:tcPr>
            <w:tcW w:w="11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93BA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6E8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BB63">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3CA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3E23">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1163">
            <w:pPr>
              <w:keepNext w:val="0"/>
              <w:keepLines w:val="0"/>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i w:val="0"/>
                <w:iCs w:val="0"/>
                <w:color w:val="000000"/>
                <w:sz w:val="24"/>
                <w:szCs w:val="24"/>
                <w:u w:val="none"/>
              </w:rPr>
            </w:pPr>
          </w:p>
        </w:tc>
      </w:tr>
      <w:tr w14:paraId="25FDA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B27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0"/>
                <w:szCs w:val="20"/>
                <w:u w:val="none"/>
              </w:rPr>
            </w:pPr>
          </w:p>
        </w:tc>
        <w:tc>
          <w:tcPr>
            <w:tcW w:w="1337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E25A3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8" name="Text_Box_5"/>
                  <wp:cNvGraphicFramePr/>
                  <a:graphic xmlns:a="http://schemas.openxmlformats.org/drawingml/2006/main">
                    <a:graphicData uri="http://schemas.openxmlformats.org/drawingml/2006/picture">
                      <pic:pic xmlns:pic="http://schemas.openxmlformats.org/drawingml/2006/picture">
                        <pic:nvPicPr>
                          <pic:cNvPr id="58"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6" name="Text_Box_9"/>
                  <wp:cNvGraphicFramePr/>
                  <a:graphic xmlns:a="http://schemas.openxmlformats.org/drawingml/2006/main">
                    <a:graphicData uri="http://schemas.openxmlformats.org/drawingml/2006/picture">
                      <pic:pic xmlns:pic="http://schemas.openxmlformats.org/drawingml/2006/picture">
                        <pic:nvPicPr>
                          <pic:cNvPr id="66"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7" name="Text_Box_5_SpCnt_1"/>
                  <wp:cNvGraphicFramePr/>
                  <a:graphic xmlns:a="http://schemas.openxmlformats.org/drawingml/2006/main">
                    <a:graphicData uri="http://schemas.openxmlformats.org/drawingml/2006/picture">
                      <pic:pic xmlns:pic="http://schemas.openxmlformats.org/drawingml/2006/picture">
                        <pic:nvPicPr>
                          <pic:cNvPr id="67"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5" name="Text_Box_9_SpCnt_1"/>
                  <wp:cNvGraphicFramePr/>
                  <a:graphic xmlns:a="http://schemas.openxmlformats.org/drawingml/2006/main">
                    <a:graphicData uri="http://schemas.openxmlformats.org/drawingml/2006/picture">
                      <pic:pic xmlns:pic="http://schemas.openxmlformats.org/drawingml/2006/picture">
                        <pic:nvPicPr>
                          <pic:cNvPr id="65"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0" name="Text_Box_12"/>
                  <wp:cNvGraphicFramePr/>
                  <a:graphic xmlns:a="http://schemas.openxmlformats.org/drawingml/2006/main">
                    <a:graphicData uri="http://schemas.openxmlformats.org/drawingml/2006/picture">
                      <pic:pic xmlns:pic="http://schemas.openxmlformats.org/drawingml/2006/picture">
                        <pic:nvPicPr>
                          <pic:cNvPr id="60"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9" name="Text_Box_10"/>
                  <wp:cNvGraphicFramePr/>
                  <a:graphic xmlns:a="http://schemas.openxmlformats.org/drawingml/2006/main">
                    <a:graphicData uri="http://schemas.openxmlformats.org/drawingml/2006/picture">
                      <pic:pic xmlns:pic="http://schemas.openxmlformats.org/drawingml/2006/picture">
                        <pic:nvPicPr>
                          <pic:cNvPr id="59"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8" name="Text_Box_9_SpCnt_2"/>
                  <wp:cNvGraphicFramePr/>
                  <a:graphic xmlns:a="http://schemas.openxmlformats.org/drawingml/2006/main">
                    <a:graphicData uri="http://schemas.openxmlformats.org/drawingml/2006/picture">
                      <pic:pic xmlns:pic="http://schemas.openxmlformats.org/drawingml/2006/picture">
                        <pic:nvPicPr>
                          <pic:cNvPr id="68"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1" name="Text_Box_7"/>
                  <wp:cNvGraphicFramePr/>
                  <a:graphic xmlns:a="http://schemas.openxmlformats.org/drawingml/2006/main">
                    <a:graphicData uri="http://schemas.openxmlformats.org/drawingml/2006/picture">
                      <pic:pic xmlns:pic="http://schemas.openxmlformats.org/drawingml/2006/picture">
                        <pic:nvPicPr>
                          <pic:cNvPr id="61"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2" name="Text_Box_5_SpCnt_2"/>
                  <wp:cNvGraphicFramePr/>
                  <a:graphic xmlns:a="http://schemas.openxmlformats.org/drawingml/2006/main">
                    <a:graphicData uri="http://schemas.openxmlformats.org/drawingml/2006/picture">
                      <pic:pic xmlns:pic="http://schemas.openxmlformats.org/drawingml/2006/picture">
                        <pic:nvPicPr>
                          <pic:cNvPr id="62"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3" name="Text_Box_14"/>
                  <wp:cNvGraphicFramePr/>
                  <a:graphic xmlns:a="http://schemas.openxmlformats.org/drawingml/2006/main">
                    <a:graphicData uri="http://schemas.openxmlformats.org/drawingml/2006/picture">
                      <pic:pic xmlns:pic="http://schemas.openxmlformats.org/drawingml/2006/picture">
                        <pic:nvPicPr>
                          <pic:cNvPr id="63"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4" name="Text_Box_12_SpCnt_1"/>
                  <wp:cNvGraphicFramePr/>
                  <a:graphic xmlns:a="http://schemas.openxmlformats.org/drawingml/2006/main">
                    <a:graphicData uri="http://schemas.openxmlformats.org/drawingml/2006/picture">
                      <pic:pic xmlns:pic="http://schemas.openxmlformats.org/drawingml/2006/picture">
                        <pic:nvPicPr>
                          <pic:cNvPr id="64"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0" name="Text_Box_7_SpCnt_1"/>
                  <wp:cNvGraphicFramePr/>
                  <a:graphic xmlns:a="http://schemas.openxmlformats.org/drawingml/2006/main">
                    <a:graphicData uri="http://schemas.openxmlformats.org/drawingml/2006/picture">
                      <pic:pic xmlns:pic="http://schemas.openxmlformats.org/drawingml/2006/picture">
                        <pic:nvPicPr>
                          <pic:cNvPr id="70"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4" name="Text_Box_10_SpCnt_1"/>
                  <wp:cNvGraphicFramePr/>
                  <a:graphic xmlns:a="http://schemas.openxmlformats.org/drawingml/2006/main">
                    <a:graphicData uri="http://schemas.openxmlformats.org/drawingml/2006/picture">
                      <pic:pic xmlns:pic="http://schemas.openxmlformats.org/drawingml/2006/picture">
                        <pic:nvPicPr>
                          <pic:cNvPr id="74"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2" name="Text_Box_5_SpCnt_3"/>
                  <wp:cNvGraphicFramePr/>
                  <a:graphic xmlns:a="http://schemas.openxmlformats.org/drawingml/2006/main">
                    <a:graphicData uri="http://schemas.openxmlformats.org/drawingml/2006/picture">
                      <pic:pic xmlns:pic="http://schemas.openxmlformats.org/drawingml/2006/picture">
                        <pic:nvPicPr>
                          <pic:cNvPr id="72"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69" name="Text_Box_14_SpCnt_1"/>
                  <wp:cNvGraphicFramePr/>
                  <a:graphic xmlns:a="http://schemas.openxmlformats.org/drawingml/2006/main">
                    <a:graphicData uri="http://schemas.openxmlformats.org/drawingml/2006/picture">
                      <pic:pic xmlns:pic="http://schemas.openxmlformats.org/drawingml/2006/picture">
                        <pic:nvPicPr>
                          <pic:cNvPr id="69"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3" name="Text_Box_12_SpCnt_2"/>
                  <wp:cNvGraphicFramePr/>
                  <a:graphic xmlns:a="http://schemas.openxmlformats.org/drawingml/2006/main">
                    <a:graphicData uri="http://schemas.openxmlformats.org/drawingml/2006/picture">
                      <pic:pic xmlns:pic="http://schemas.openxmlformats.org/drawingml/2006/picture">
                        <pic:nvPicPr>
                          <pic:cNvPr id="73"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71" name="Text_Box_10_SpCnt_2"/>
                  <wp:cNvGraphicFramePr/>
                  <a:graphic xmlns:a="http://schemas.openxmlformats.org/drawingml/2006/main">
                    <a:graphicData uri="http://schemas.openxmlformats.org/drawingml/2006/picture">
                      <pic:pic xmlns:pic="http://schemas.openxmlformats.org/drawingml/2006/picture">
                        <pic:nvPicPr>
                          <pic:cNvPr id="71"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6" name="Text_Box_9_SpCnt_3"/>
                  <wp:cNvGraphicFramePr/>
                  <a:graphic xmlns:a="http://schemas.openxmlformats.org/drawingml/2006/main">
                    <a:graphicData uri="http://schemas.openxmlformats.org/drawingml/2006/picture">
                      <pic:pic xmlns:pic="http://schemas.openxmlformats.org/drawingml/2006/picture">
                        <pic:nvPicPr>
                          <pic:cNvPr id="56"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7" name="Text_Box_14_SpCnt_2"/>
                  <wp:cNvGraphicFramePr/>
                  <a:graphic xmlns:a="http://schemas.openxmlformats.org/drawingml/2006/main">
                    <a:graphicData uri="http://schemas.openxmlformats.org/drawingml/2006/picture">
                      <pic:pic xmlns:pic="http://schemas.openxmlformats.org/drawingml/2006/picture">
                        <pic:nvPicPr>
                          <pic:cNvPr id="57"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2" name="Text_Box_7_SpCnt_2"/>
                  <wp:cNvGraphicFramePr/>
                  <a:graphic xmlns:a="http://schemas.openxmlformats.org/drawingml/2006/main">
                    <a:graphicData uri="http://schemas.openxmlformats.org/drawingml/2006/picture">
                      <pic:pic xmlns:pic="http://schemas.openxmlformats.org/drawingml/2006/picture">
                        <pic:nvPicPr>
                          <pic:cNvPr id="52"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3" name="Text_Box_12_SpCnt_3"/>
                  <wp:cNvGraphicFramePr/>
                  <a:graphic xmlns:a="http://schemas.openxmlformats.org/drawingml/2006/main">
                    <a:graphicData uri="http://schemas.openxmlformats.org/drawingml/2006/picture">
                      <pic:pic xmlns:pic="http://schemas.openxmlformats.org/drawingml/2006/picture">
                        <pic:nvPicPr>
                          <pic:cNvPr id="53"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4" name="Text_Box_7_SpCnt_3"/>
                  <wp:cNvGraphicFramePr/>
                  <a:graphic xmlns:a="http://schemas.openxmlformats.org/drawingml/2006/main">
                    <a:graphicData uri="http://schemas.openxmlformats.org/drawingml/2006/picture">
                      <pic:pic xmlns:pic="http://schemas.openxmlformats.org/drawingml/2006/picture">
                        <pic:nvPicPr>
                          <pic:cNvPr id="54"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5086350</wp:posOffset>
                  </wp:positionH>
                  <wp:positionV relativeFrom="paragraph">
                    <wp:posOffset>0</wp:posOffset>
                  </wp:positionV>
                  <wp:extent cx="152400" cy="161925"/>
                  <wp:effectExtent l="0" t="0" r="0" b="0"/>
                  <wp:wrapNone/>
                  <wp:docPr id="55" name="Text_Box_10_SpCnt_3"/>
                  <wp:cNvGraphicFramePr/>
                  <a:graphic xmlns:a="http://schemas.openxmlformats.org/drawingml/2006/main">
                    <a:graphicData uri="http://schemas.openxmlformats.org/drawingml/2006/picture">
                      <pic:pic xmlns:pic="http://schemas.openxmlformats.org/drawingml/2006/picture">
                        <pic:nvPicPr>
                          <pic:cNvPr id="55"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合计：</w:t>
            </w:r>
            <w:r>
              <w:rPr>
                <w:rFonts w:hint="eastAsia" w:ascii="宋体" w:hAnsi="宋体" w:eastAsia="宋体" w:cs="宋体"/>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元</w:t>
            </w:r>
          </w:p>
        </w:tc>
      </w:tr>
      <w:tr w14:paraId="21198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42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13E229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注：以上报价含可抵扣的增值税专用发票、运费、卸货</w:t>
            </w:r>
            <w:bookmarkStart w:id="0" w:name="_GoBack"/>
            <w:bookmarkEnd w:id="0"/>
            <w:r>
              <w:rPr>
                <w:rFonts w:hint="eastAsia" w:ascii="宋体" w:hAnsi="宋体" w:eastAsia="宋体" w:cs="宋体"/>
                <w:i w:val="0"/>
                <w:iCs w:val="0"/>
                <w:color w:val="FF0000"/>
                <w:kern w:val="0"/>
                <w:sz w:val="24"/>
                <w:szCs w:val="24"/>
                <w:u w:val="none"/>
                <w:lang w:val="en-US" w:eastAsia="zh-CN" w:bidi="ar"/>
              </w:rPr>
              <w:t>以及相关服务费用。</w:t>
            </w:r>
          </w:p>
        </w:tc>
      </w:tr>
      <w:tr w14:paraId="18F9B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A249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3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FAA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FF0000"/>
                <w:sz w:val="24"/>
                <w:szCs w:val="24"/>
                <w:u w:val="none"/>
              </w:rPr>
            </w:pPr>
          </w:p>
        </w:tc>
        <w:tc>
          <w:tcPr>
            <w:tcW w:w="1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8C8D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69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33A5E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FF0000"/>
                <w:sz w:val="24"/>
                <w:szCs w:val="24"/>
                <w:u w:val="none"/>
              </w:rPr>
            </w:pPr>
          </w:p>
        </w:tc>
      </w:tr>
      <w:tr w14:paraId="4BD4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03DF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3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50F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5年</w:t>
            </w:r>
          </w:p>
        </w:tc>
        <w:tc>
          <w:tcPr>
            <w:tcW w:w="1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D269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税点</w:t>
            </w:r>
            <w:r>
              <w:rPr>
                <w:rFonts w:hint="eastAsia" w:ascii="宋体" w:hAnsi="宋体" w:eastAsia="宋体" w:cs="宋体"/>
                <w:i w:val="0"/>
                <w:iCs w:val="0"/>
                <w:color w:val="000000"/>
                <w:kern w:val="0"/>
                <w:sz w:val="24"/>
                <w:szCs w:val="24"/>
                <w:u w:val="none"/>
                <w:lang w:val="en-US" w:eastAsia="zh-CN" w:bidi="ar"/>
              </w:rPr>
              <w:t>：</w:t>
            </w:r>
          </w:p>
        </w:tc>
        <w:tc>
          <w:tcPr>
            <w:tcW w:w="69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B91A6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FF0000"/>
                <w:sz w:val="24"/>
                <w:szCs w:val="24"/>
                <w:u w:val="none"/>
              </w:rPr>
            </w:pPr>
          </w:p>
        </w:tc>
      </w:tr>
      <w:tr w14:paraId="42C69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7E44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3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A21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1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B69E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69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54327F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合同签订后个7日内支付30%预付款，货到验收合格后3个月内付清</w:t>
            </w:r>
            <w:r>
              <w:rPr>
                <w:rFonts w:hint="eastAsia" w:ascii="宋体" w:hAnsi="宋体" w:cs="宋体"/>
                <w:i w:val="0"/>
                <w:iCs w:val="0"/>
                <w:color w:val="FF0000"/>
                <w:kern w:val="0"/>
                <w:sz w:val="24"/>
                <w:szCs w:val="24"/>
                <w:u w:val="none"/>
                <w:lang w:val="en-US" w:eastAsia="zh-CN" w:bidi="ar"/>
              </w:rPr>
              <w:t>尾</w:t>
            </w:r>
            <w:r>
              <w:rPr>
                <w:rFonts w:hint="eastAsia" w:ascii="宋体" w:hAnsi="宋体" w:eastAsia="宋体" w:cs="宋体"/>
                <w:i w:val="0"/>
                <w:iCs w:val="0"/>
                <w:color w:val="FF0000"/>
                <w:kern w:val="0"/>
                <w:sz w:val="24"/>
                <w:szCs w:val="24"/>
                <w:u w:val="none"/>
                <w:lang w:val="en-US" w:eastAsia="zh-CN" w:bidi="ar"/>
              </w:rPr>
              <w:t>款</w:t>
            </w:r>
          </w:p>
        </w:tc>
      </w:tr>
    </w:tbl>
    <w:p w14:paraId="632E0F79">
      <w:pPr>
        <w:pStyle w:val="15"/>
        <w:ind w:left="0" w:leftChars="0" w:firstLine="0" w:firstLineChars="0"/>
        <w:rPr>
          <w:rFonts w:hint="eastAsia" w:ascii="黑体" w:hAnsi="宋体" w:eastAsia="黑体" w:cs="黑体"/>
          <w:i w:val="0"/>
          <w:iCs w:val="0"/>
          <w:color w:val="FF0000"/>
          <w:kern w:val="0"/>
          <w:sz w:val="24"/>
          <w:szCs w:val="24"/>
          <w:u w:val="none"/>
          <w:lang w:val="en-US" w:eastAsia="zh-CN" w:bidi="ar"/>
        </w:rPr>
        <w:sectPr>
          <w:pgSz w:w="16838" w:h="11906" w:orient="landscape"/>
          <w:pgMar w:top="1800" w:right="1440" w:bottom="1800" w:left="1440" w:header="851" w:footer="992" w:gutter="0"/>
          <w:cols w:space="425" w:num="1"/>
          <w:docGrid w:type="lines" w:linePitch="312" w:charSpace="0"/>
        </w:sectPr>
      </w:pPr>
    </w:p>
    <w:p w14:paraId="3E3FBFB1">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1E47C73A">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601227D1">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46287D9F">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7A0940CD">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5F2D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CB3ECBF">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6585B7D8">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791E9221">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05559C0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04678FF8">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5DFD98F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E25C55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38C7C951">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4F1F8876">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0475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D86D2B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0647CD5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A15859E">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8117322">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E8D9B5C">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070DF66">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37912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8107DB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6C66488B">
            <w:pPr>
              <w:pStyle w:val="17"/>
              <w:spacing w:line="340" w:lineRule="exact"/>
              <w:ind w:left="0" w:leftChars="0" w:firstLine="0" w:firstLineChars="0"/>
              <w:jc w:val="both"/>
              <w:rPr>
                <w:rFonts w:hint="eastAsia" w:ascii="仿宋" w:hAnsi="仿宋" w:eastAsia="仿宋" w:cs="仿宋"/>
                <w:color w:val="auto"/>
                <w:sz w:val="24"/>
                <w:szCs w:val="24"/>
              </w:rPr>
            </w:pPr>
          </w:p>
        </w:tc>
      </w:tr>
      <w:tr w14:paraId="59734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7A3CED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317E464">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D7C4B4">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3852BA0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9296783">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C684A24">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C360842">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2060C1D">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A8A4C05">
            <w:pPr>
              <w:pStyle w:val="17"/>
              <w:spacing w:line="340" w:lineRule="exact"/>
              <w:ind w:left="0" w:leftChars="0" w:firstLine="0" w:firstLineChars="0"/>
              <w:jc w:val="both"/>
              <w:rPr>
                <w:rFonts w:hint="eastAsia" w:ascii="仿宋" w:hAnsi="仿宋" w:eastAsia="仿宋" w:cs="仿宋"/>
                <w:color w:val="auto"/>
                <w:sz w:val="24"/>
                <w:szCs w:val="24"/>
              </w:rPr>
            </w:pPr>
          </w:p>
        </w:tc>
      </w:tr>
      <w:tr w14:paraId="1B1B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0C620E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A2438FC">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6CA75B0">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529E5C1">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2849AC9">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DA09ECD">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845D4C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D3BBE0B">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12FB0917">
            <w:pPr>
              <w:pStyle w:val="17"/>
              <w:spacing w:line="340" w:lineRule="exact"/>
              <w:ind w:left="0" w:leftChars="0" w:firstLine="0" w:firstLineChars="0"/>
              <w:jc w:val="both"/>
              <w:rPr>
                <w:rFonts w:hint="eastAsia" w:ascii="仿宋" w:hAnsi="仿宋" w:eastAsia="仿宋" w:cs="仿宋"/>
                <w:color w:val="auto"/>
                <w:sz w:val="24"/>
                <w:szCs w:val="24"/>
              </w:rPr>
            </w:pPr>
          </w:p>
        </w:tc>
      </w:tr>
      <w:tr w14:paraId="119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788ED992">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395C2D75">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360879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C46CECB">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99CAA3D">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C720CB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0F7A283">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B8128A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23478BCF">
            <w:pPr>
              <w:pStyle w:val="17"/>
              <w:spacing w:line="340" w:lineRule="exact"/>
              <w:ind w:left="0" w:leftChars="0" w:firstLine="0" w:firstLineChars="0"/>
              <w:jc w:val="both"/>
              <w:rPr>
                <w:rFonts w:hint="eastAsia" w:ascii="仿宋" w:hAnsi="仿宋" w:eastAsia="仿宋" w:cs="仿宋"/>
                <w:color w:val="auto"/>
                <w:sz w:val="24"/>
                <w:szCs w:val="24"/>
              </w:rPr>
            </w:pPr>
          </w:p>
        </w:tc>
      </w:tr>
      <w:tr w14:paraId="4FFB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1CAE3C1">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155C495">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B917B94">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C5D685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03C61C3">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1786F38">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8EBAF23">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F0B561D">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90F52F3">
            <w:pPr>
              <w:pStyle w:val="17"/>
              <w:spacing w:line="340" w:lineRule="exact"/>
              <w:ind w:left="0" w:leftChars="0" w:firstLine="0" w:firstLineChars="0"/>
              <w:jc w:val="both"/>
              <w:rPr>
                <w:rFonts w:hint="eastAsia" w:ascii="仿宋" w:hAnsi="仿宋" w:eastAsia="仿宋" w:cs="仿宋"/>
                <w:color w:val="auto"/>
                <w:sz w:val="24"/>
                <w:szCs w:val="24"/>
              </w:rPr>
            </w:pPr>
          </w:p>
        </w:tc>
      </w:tr>
      <w:tr w14:paraId="34E7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0BC70A1">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2722A5F">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400E3D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67B9DCD">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71A8A05">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87D800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F6734A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E2FB6A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078C7F3C">
            <w:pPr>
              <w:pStyle w:val="17"/>
              <w:spacing w:line="340" w:lineRule="exact"/>
              <w:ind w:left="0" w:leftChars="0" w:firstLine="0" w:firstLineChars="0"/>
              <w:jc w:val="both"/>
              <w:rPr>
                <w:rFonts w:hint="eastAsia" w:ascii="仿宋" w:hAnsi="仿宋" w:eastAsia="仿宋" w:cs="仿宋"/>
                <w:color w:val="auto"/>
                <w:sz w:val="24"/>
                <w:szCs w:val="24"/>
              </w:rPr>
            </w:pPr>
          </w:p>
        </w:tc>
      </w:tr>
      <w:tr w14:paraId="60A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FEB461A">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0C00703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6A1D293">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3B100A9D">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394569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B81E08C">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5D654DF8">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FB6AE15">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CC6E88E">
            <w:pPr>
              <w:pStyle w:val="17"/>
              <w:spacing w:line="340" w:lineRule="exact"/>
              <w:ind w:left="0" w:leftChars="0" w:firstLine="0" w:firstLineChars="0"/>
              <w:jc w:val="both"/>
              <w:rPr>
                <w:rFonts w:hint="eastAsia" w:ascii="仿宋" w:hAnsi="仿宋" w:eastAsia="仿宋" w:cs="仿宋"/>
                <w:color w:val="auto"/>
                <w:sz w:val="24"/>
                <w:szCs w:val="24"/>
              </w:rPr>
            </w:pPr>
          </w:p>
        </w:tc>
      </w:tr>
      <w:tr w14:paraId="707A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FADCFBF">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52CFFC5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2E6CAEAC">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126CEF8E">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1、付款条件:合同签订后个7日内支付30%预付款，货到验收合格后3个月内付清其余的货款。注：付款时供应商须提供正规发票（因发票问题而导致无法正常付款的，责任由供应商自己承担）。</w:t>
      </w:r>
    </w:p>
    <w:p w14:paraId="67A9AB55">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2B95B652">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1CEE4034">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1101BD2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674F065A">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2E0292A4">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274AFBB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45BF634E">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675A460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44F19C3A">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58D628B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28BD3AF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2373AAD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44AF40F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248DD3E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4F79D97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1EA6023F">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07B565E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2BAE1F5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7187891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526081A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7056C89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679094DF">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0A13022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18ABD6C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0E2AB5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4114A6C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0377D633">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15BAE30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4E59CA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60B1D66F">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2FCA731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2702D7A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29066D0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70F124E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77BE33B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19196A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2BB2D5A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059D048C">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10681C8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7884116A">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4205FC2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05C5F7F1">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5872613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47693F5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4EED740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242FAA3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2714FA0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7EE7CA1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56A3FA9B">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0462F8B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C8DF586">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6B19780C">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3F86F1BC">
      <w:pPr>
        <w:ind w:left="0" w:leftChars="0" w:firstLine="0" w:firstLineChars="0"/>
      </w:pPr>
    </w:p>
    <w:p w14:paraId="7B78230E"/>
    <w:p w14:paraId="6356FFE2"/>
    <w:p w14:paraId="2FBC74B9"/>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2BD280C"/>
    <w:rsid w:val="02BD7BE0"/>
    <w:rsid w:val="03626CD0"/>
    <w:rsid w:val="03BB36BB"/>
    <w:rsid w:val="04741F2A"/>
    <w:rsid w:val="058E7D29"/>
    <w:rsid w:val="06E65ABA"/>
    <w:rsid w:val="07CC21FA"/>
    <w:rsid w:val="082F30B8"/>
    <w:rsid w:val="0886108C"/>
    <w:rsid w:val="09FE7C7D"/>
    <w:rsid w:val="0BC2638F"/>
    <w:rsid w:val="0BDC6B78"/>
    <w:rsid w:val="0C0C3B68"/>
    <w:rsid w:val="0C882A07"/>
    <w:rsid w:val="0CD142BE"/>
    <w:rsid w:val="0D681C76"/>
    <w:rsid w:val="0D78696A"/>
    <w:rsid w:val="0DBF30C4"/>
    <w:rsid w:val="0DD96789"/>
    <w:rsid w:val="0F1D278D"/>
    <w:rsid w:val="100159F1"/>
    <w:rsid w:val="10275305"/>
    <w:rsid w:val="10941E2C"/>
    <w:rsid w:val="133B07D3"/>
    <w:rsid w:val="138B678C"/>
    <w:rsid w:val="13A43BC7"/>
    <w:rsid w:val="144B0B25"/>
    <w:rsid w:val="14F94AB5"/>
    <w:rsid w:val="157C124F"/>
    <w:rsid w:val="15B405D8"/>
    <w:rsid w:val="173B2189"/>
    <w:rsid w:val="17CE6EF3"/>
    <w:rsid w:val="185D2018"/>
    <w:rsid w:val="1870435E"/>
    <w:rsid w:val="18B65219"/>
    <w:rsid w:val="193251CA"/>
    <w:rsid w:val="1959078F"/>
    <w:rsid w:val="19C1145D"/>
    <w:rsid w:val="1A48720E"/>
    <w:rsid w:val="1B811C42"/>
    <w:rsid w:val="1C1414B5"/>
    <w:rsid w:val="1C44694B"/>
    <w:rsid w:val="1CB642A6"/>
    <w:rsid w:val="1CBE542C"/>
    <w:rsid w:val="1E434544"/>
    <w:rsid w:val="1F444EB4"/>
    <w:rsid w:val="1F741D8C"/>
    <w:rsid w:val="1FC0011B"/>
    <w:rsid w:val="1FF000D2"/>
    <w:rsid w:val="1FF040AD"/>
    <w:rsid w:val="200C3464"/>
    <w:rsid w:val="23B60935"/>
    <w:rsid w:val="245503E6"/>
    <w:rsid w:val="24BF2D95"/>
    <w:rsid w:val="259D1AFE"/>
    <w:rsid w:val="25BA7F75"/>
    <w:rsid w:val="25DE44B5"/>
    <w:rsid w:val="264801BD"/>
    <w:rsid w:val="267537D8"/>
    <w:rsid w:val="26A67AF4"/>
    <w:rsid w:val="27933CD9"/>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5319C9"/>
    <w:rsid w:val="34A31AF1"/>
    <w:rsid w:val="37A7439E"/>
    <w:rsid w:val="37CA2BC5"/>
    <w:rsid w:val="38544E55"/>
    <w:rsid w:val="39963E4D"/>
    <w:rsid w:val="3B0F7CBC"/>
    <w:rsid w:val="3B275F4B"/>
    <w:rsid w:val="3E015FF2"/>
    <w:rsid w:val="3E5157CB"/>
    <w:rsid w:val="40130CAF"/>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CDA1944"/>
    <w:rsid w:val="4D030046"/>
    <w:rsid w:val="4E802F1D"/>
    <w:rsid w:val="4EF042FA"/>
    <w:rsid w:val="4FAF448B"/>
    <w:rsid w:val="50417986"/>
    <w:rsid w:val="50F73FA0"/>
    <w:rsid w:val="515E18DF"/>
    <w:rsid w:val="51765D9A"/>
    <w:rsid w:val="521C7398"/>
    <w:rsid w:val="52446C35"/>
    <w:rsid w:val="527E16D3"/>
    <w:rsid w:val="52C14E18"/>
    <w:rsid w:val="5316709E"/>
    <w:rsid w:val="56E07198"/>
    <w:rsid w:val="57221F02"/>
    <w:rsid w:val="57DB3B40"/>
    <w:rsid w:val="58733762"/>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4467711"/>
    <w:rsid w:val="64E752C4"/>
    <w:rsid w:val="65F729C7"/>
    <w:rsid w:val="66934D57"/>
    <w:rsid w:val="66A27154"/>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1270FB3"/>
    <w:rsid w:val="71E07B02"/>
    <w:rsid w:val="72C34258"/>
    <w:rsid w:val="73CE218C"/>
    <w:rsid w:val="74AA472D"/>
    <w:rsid w:val="768165E1"/>
    <w:rsid w:val="79DA1D09"/>
    <w:rsid w:val="7A182199"/>
    <w:rsid w:val="7A644061"/>
    <w:rsid w:val="7AE1770B"/>
    <w:rsid w:val="7D0F483D"/>
    <w:rsid w:val="7E004848"/>
    <w:rsid w:val="7E37366F"/>
    <w:rsid w:val="7ED656B9"/>
    <w:rsid w:val="7FD5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6318</Words>
  <Characters>6818</Characters>
  <Lines>0</Lines>
  <Paragraphs>0</Paragraphs>
  <TotalTime>0</TotalTime>
  <ScaleCrop>false</ScaleCrop>
  <LinksUpToDate>false</LinksUpToDate>
  <CharactersWithSpaces>7526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2025-04-25T03:11:48Z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3B98FD3D54BE468AAED028033C2DBF24_13</vt:lpwstr>
  </property>
  <property fmtid="{D5CDD505-2E9C-101B-9397-08002B2CF9AE}" pid="4" name="KSOTemplateDocerSaveRecord">
    <vt:lpwstr>eyJoZGlkIjoiMTdmMDNkNWQ0ZWMxNjY0YzI3ODdkN2UzOWY5OGRlNzEifQ==</vt:lpwstr>
  </property>
</Properties>
</file>